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6" w:rsidRDefault="006D1B90" w:rsidP="00FA67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Методичні рекомендації</w:t>
      </w:r>
      <w:r w:rsidR="00FA67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 закладів загальної середньої освіти на тему</w:t>
      </w:r>
      <w:r w:rsidR="00FA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«Цифрові інструменти вчителя для формування STEM-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учнів»</w:t>
      </w:r>
    </w:p>
    <w:p w:rsidR="00FA679E" w:rsidRPr="006C6DDA" w:rsidRDefault="00FA679E" w:rsidP="00FA679E">
      <w:pPr>
        <w:pStyle w:val="LO-normal1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C6DDA">
        <w:rPr>
          <w:rFonts w:ascii="Times New Roman" w:eastAsia="Times New Roman" w:hAnsi="Times New Roman" w:cs="Times New Roman"/>
          <w:bCs/>
          <w:i/>
          <w:sz w:val="28"/>
          <w:szCs w:val="28"/>
        </w:rPr>
        <w:t>Олексюк</w:t>
      </w:r>
      <w:proofErr w:type="spellEnd"/>
      <w:r w:rsidRPr="006C6D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Олеся Романівна,</w:t>
      </w:r>
      <w:r w:rsidRPr="006C6D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C6DDA">
        <w:rPr>
          <w:rFonts w:ascii="Times New Roman" w:eastAsia="Times New Roman" w:hAnsi="Times New Roman" w:cs="Times New Roman"/>
          <w:i/>
          <w:sz w:val="28"/>
          <w:szCs w:val="28"/>
        </w:rPr>
        <w:t>кандидат педагогічних наук, доцент кафедри змісту і методик навчальних предметів</w:t>
      </w:r>
    </w:p>
    <w:p w:rsidR="000A3A86" w:rsidRPr="006C6DDA" w:rsidRDefault="000A3A86" w:rsidP="00FA679E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STEM-освіта в сучасному світі є критично важливою для забезпечення технологічного прогресу, економічного розвитку та вирішення глобальних проблем. Вона покликана формувати краще розуміння природи, розвивати інноваційні рішення та навички, необхідні для успішної реалізації в сучасному суспільстві. STEM-освіта сприяє </w:t>
      </w:r>
      <w:r w:rsidR="004548CC">
        <w:rPr>
          <w:rFonts w:ascii="Times New Roman" w:eastAsia="Times New Roman" w:hAnsi="Times New Roman" w:cs="Times New Roman"/>
          <w:sz w:val="28"/>
          <w:szCs w:val="28"/>
        </w:rPr>
        <w:t>залученню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молоді до вивчення технологій і розвитку важливих компетентностей майбутнього фахівця. </w:t>
      </w:r>
    </w:p>
    <w:p w:rsidR="000A3A86" w:rsidRDefault="004548CC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Актуальність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 xml:space="preserve"> формування STEM-компетентностей учнів та учениць визначається сукупністю чинників: STEM-спеціалісти відіграють ключову роль у забезпеченні технологічного прогресу та конкурен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тоспроможності економіки країни; 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>стрімкий розвиток технологій та їх інтеграція в різні сфери виробництва, потребує висококваліфікованих фахівц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>, здатних розв'язувати практичні задачі за допомогою наукових методів, сист</w:t>
      </w:r>
      <w:r>
        <w:rPr>
          <w:rFonts w:ascii="Times New Roman" w:eastAsia="Times New Roman" w:hAnsi="Times New Roman" w:cs="Times New Roman"/>
          <w:sz w:val="28"/>
          <w:szCs w:val="28"/>
        </w:rPr>
        <w:t>емного та критичного мислення; с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 xml:space="preserve">віт стає все більш інтегрованим, і STEM-освіта дозволяє учням розуміти і впливати на глобальні проблеми, такі як зміна клімату,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збереження 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 xml:space="preserve">здоров'я та енергетика. </w:t>
      </w:r>
      <w:r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 xml:space="preserve"> аспекти зумовлюють потребу у зміні педагогічних методик та якісному навчанні учнівства. Викладання предметів за допомогою традиційних педагогічних методів недостатнє. STEM вимагає нового </w:t>
      </w:r>
      <w:r>
        <w:rPr>
          <w:rFonts w:ascii="Times New Roman" w:eastAsia="Times New Roman" w:hAnsi="Times New Roman" w:cs="Times New Roman"/>
          <w:sz w:val="28"/>
          <w:szCs w:val="28"/>
        </w:rPr>
        <w:t>бачення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 xml:space="preserve">: поєднання змісту різних предметів на основі дослідницько-проектної діяльності, задля підготовки учнів та учениць до цілісного </w:t>
      </w:r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r w:rsidR="006D1B90">
        <w:rPr>
          <w:rFonts w:ascii="Times New Roman" w:eastAsia="Times New Roman" w:hAnsi="Times New Roman" w:cs="Times New Roman"/>
          <w:sz w:val="28"/>
          <w:szCs w:val="28"/>
        </w:rPr>
        <w:t xml:space="preserve"> проблем сучасного світу. Успішне впровадження STEM-освіти залежить від наявності вчителів з відповідними кваліфікаціями, доступу до сучасного обладнання та вміння педагогів працювати з цифровими технологіями.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Концепції нової української школи компетентність розглядається як «поєднання знань, способів мислення, поглядів, цінностей, навичок, умінь, інших особистих якостей, що визначає здатність особи успішно провадити професійну та/або</w:t>
      </w:r>
      <w:r w:rsidR="004548CC">
        <w:rPr>
          <w:rFonts w:ascii="Times New Roman" w:eastAsia="Times New Roman" w:hAnsi="Times New Roman" w:cs="Times New Roman"/>
          <w:sz w:val="28"/>
          <w:szCs w:val="28"/>
        </w:rPr>
        <w:t xml:space="preserve"> подальшу навчальну діяльність».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Компетентність часто пояснюють за допомогою стійких термінів, таких як «здатність до…», «комплекс умінь», «готовність до…», «знання в дії», «спроможність» та інші. З цього випливає, що компетентність – це цілісне утворення.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STEM-компетентності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визначають як динамічну систему знань і умінь, навичок і способу мислення, цінностей і особистісних якостей, які формують здатність до інноваційної діяльності та виявляються у </w:t>
      </w:r>
      <w:r w:rsidR="004548CC">
        <w:rPr>
          <w:rFonts w:ascii="Times New Roman" w:eastAsia="Times New Roman" w:hAnsi="Times New Roman" w:cs="Times New Roman"/>
          <w:sz w:val="28"/>
          <w:szCs w:val="28"/>
        </w:rPr>
        <w:t>вмінні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визначити проблему, логічно розмірковувати, обґрунтовувати свої дії, розуміти та аналізувати різні точки зору у вирішенні </w:t>
      </w:r>
      <w:r w:rsidR="004548CC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вмінні нетрадиційно вирішувати </w:t>
      </w:r>
      <w:proofErr w:type="spellStart"/>
      <w:r w:rsidR="004548CC">
        <w:rPr>
          <w:rFonts w:ascii="Times New Roman" w:eastAsia="Times New Roman" w:hAnsi="Times New Roman" w:cs="Times New Roman"/>
          <w:sz w:val="28"/>
          <w:szCs w:val="28"/>
        </w:rPr>
        <w:t>завдвння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здійснювати аналіз та оцінку отриманих результатів, формулювати дослідницьке </w:t>
      </w:r>
      <w:r w:rsidR="004548CC">
        <w:rPr>
          <w:rFonts w:ascii="Times New Roman" w:eastAsia="Times New Roman" w:hAnsi="Times New Roman" w:cs="Times New Roman"/>
          <w:sz w:val="28"/>
          <w:szCs w:val="28"/>
        </w:rPr>
        <w:t>гіпотезу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визначати шляхи </w:t>
      </w:r>
      <w:r w:rsidR="004548CC">
        <w:rPr>
          <w:rFonts w:ascii="Times New Roman" w:eastAsia="Times New Roman" w:hAnsi="Times New Roman" w:cs="Times New Roman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48CC">
        <w:rPr>
          <w:rFonts w:ascii="Times New Roman" w:eastAsia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застосовувати знання в різних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життєвих ситуаціях. STEM-компетентності формуються через системний розвиток складових компонентів:  математичної компетентності; інформаційно-комунікаційної компетентності; базових компетентностей в галузях природознавства і техніки;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проєктно-технологічної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компетентності;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Важливо не розглядати ці складові як ізольовані чи самостійні, а краще розглядати як пов’язані та цілісні. Оскільки для вирішення проблем та прийняття рішень потрібна інтеграція всіх складників.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Математична компетентність передбачає використання отриманих математичних знань для вирішення різноманітних завдань у повсякденному житті, зокрема моделювання процесів та ситуацій за допомогою математичних інструментів, усвідомлення важливості використання математики в житті кожної людини. Також полягає у здатності використовувати логіко-математичне, просторове мислення для вирішення повсякденних проблем, включає навички представлення інформації (формули, моделі, графіки, діаграми).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Компетентність у галузі природничих наук і техніки передбачає формування наукового світогляду, охоплює уміння використовувати наукові знання й методології для пояснення світу природи. Також означає здатність здійснювати дослідження природи й формулювати обґрунтовані висновки на основі зібраної інформації, розуміти зміни, зумовлені людською діяльністю та нести відповідальність за наслідки такої діяльності.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Проєктно-технологічна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компетентність передбачає формування знань та навички, пов’язані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розробкою та вирішенням технічних завдань та проблем.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стандарт визначає 11 ключових компетентностей. Усі вони вважаються однаково важливими: кожна з них сприяє успішному життю в суспільстві. Спільними для всіх ключових компетентностей є такі вміння, як читання з розумінням, уміння висловлювати власну думку усно й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Вони переплітаються та поєднуються: розвиваючи компетентності, важливі для однієї життєвої сфери, ми одночасно розвиваємо і пріоритетні для іншої.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Державному стандарті базової середньої освіти під інформаційно-комунікаційною компетентністю розуміємо уміння використовувати цифрові технології впевнено, критично і безпечно для навчання, особистого розвитку та інших життєвих ситуаціях. Здатність використовувати інформаційно-комунікаційні технології та відповідні засоби для виконання особистісних і суспільно значущих завдань.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Концепції розвитку природничо-математичної освіти (STEM-освіти) (схвалено розпорядженням КМУ від 5 серпня 2020 р. № 960-р) зазначено, що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«навчальні методики та навчальні програми природничо-математичної освіти (STEM-освіти) спрямовані на задоволення попиту на наукоємну освіту, формування актуальних на ринку праці компетентностей». Поряд з розвитком когнітивних навичок, навичок обробляти інформацію, інтерпретувати та аналізувати данні; інженерного мислення; науково-дослідницьких навичок; креативних якостей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технологічних навичок, навичок комунікації, важливим є розвиток алгоритмічного мислення та цифрової грамотності. Останнє в Концепції визначається як «ефективне використання цифрових технологій для комунікації, обробки інформації, інтерпретації та аналізу даних, формулювання проблем та їх розв’язання у вигляді комп’ютерних алгоритмів, які можуть бути автоматично оброблені; складення інструкцій або алгоритмів, що дають змогу виконати певні завдання за допомогою відповідної техніки».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Україні впродовж останніх років здійснено значні кроки щодо формування сучасного цифрового освітнього середовища в ЗЗСО та розвитку інформаційно-цифрової компетентності учасників освітнього процесу. </w:t>
      </w:r>
      <w:r w:rsidR="00DB3CC3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низка платформ для підтримки цифрової освіти в рамках реформ, що покликані бути рушієм істотних змін в освітньому процесі та започаткувати ринок виробництва електронних освітніх продуктів і сервісів в Україні. Беззаперечним є той факт, що використання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комп’ютерної техніки</w:t>
      </w:r>
      <w:r w:rsidR="00DB3CC3">
        <w:rPr>
          <w:rFonts w:ascii="Times New Roman" w:eastAsia="Times New Roman" w:hAnsi="Times New Roman" w:cs="Times New Roman"/>
          <w:sz w:val="28"/>
          <w:szCs w:val="28"/>
        </w:rPr>
        <w:t xml:space="preserve"> мотивує та зацікавлює учнівство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навчання, унаочнює традиційні заняття різноманітними інтерактивними видами діяльності, що також сприяє формуванню та розвитку креативності, творчості та критичного мислення, які є пріоритетними у новітньому світі технологічних можливостей.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Сучасні технології та цифрові ресурси можуть бути корисними для розвитку  STEM-компетентностей учнів, тому педагог повинен шукати таких способів і методів роботи, які будуть максимально ефективними для представлення нового матеріалу, цікавими та доступними для розуміння сучасними учнями. Поширеними засобами навчання, які впливатимуть на формування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робототехнічні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засоби для моделювання, конструювання, різноманітні лабораторні приладдя, електронні пристрої (наприклад, комп’ютери, телефони, планшети,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3D-принтери, інтерактивні дошки,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столи), засоби ІКТ навчання (спеціально створені та адаптовані).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розвитку математичної компетентності застосування цифрових технологій сприяє розумінню складних понять шляхом використання візуальних елементів, стимулює активність учнів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допомагає формувати дослідницькі навички шляхом власного експериментування та дослідження. Впровадження нових освітніх технологій, мережевих ресурсів, цифрових інструментів сприяє розвитку критичного мислення, навчає аналізувати та опрацьовувати інформацію.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Відкриті віртуальні класи, автоматизовані лабораторні практикуми віддаленого доступу надають учням можливості для представлення навчального матеріалу засобами інтерактивних, презентацій, електронного блокнота та ін. Щоб розвивати навички співпраці та спільної роботи, а також збільшити ефективність навчання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онлайн-режимі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доцільно використовувати цифрові інструменти, наприклад,  віртуальні кімнати для зустрічей та обговорень.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Trello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Також можна використовувати соціальні мережі та форуми обговорення тем та платформи для спільного створення проєктів.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 доцільно використовувати в процесі навчання організації навчання технологію «перевернутого» навчання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flіpped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learnіng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Вона передбачає, що учні спочатку самостійно, у позаурочний час, вивчають новий матеріал за допомогою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додаткових джерел. Потім на заняттях разом обговорюють нові по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 xml:space="preserve">няття, ідеї, в цей час педагог </w:t>
      </w:r>
      <w:proofErr w:type="spellStart"/>
      <w:r w:rsidR="0080234E">
        <w:rPr>
          <w:rFonts w:ascii="Times New Roman" w:eastAsia="Times New Roman" w:hAnsi="Times New Roman" w:cs="Times New Roman"/>
          <w:sz w:val="28"/>
          <w:szCs w:val="28"/>
        </w:rPr>
        <w:t>модерує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 обговорення і допомагає застосовувати нові знання на практиці. Технологія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гейміфікації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теж ефективною під час вивчення навчання, вона зумовлює імітацію реальної ситуації на принципах гри, що надасть можливості для формування якісних зв’язків між теоретичними концепціями та практичними знаннями.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розвитку творчості можна використовувати різноманітні сервіси для створення відео, аудіо та інших мультимедійних ресурсів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Сanva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Animoto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Наприклад, учні можуть створити власний відеоролик, аб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те, як вони розуміють певну тему або концепцію.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Онлайн-інструменти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аналізу даних та статистичного моделювання можуть допомогти вчителям та учням проводити аналіз даних та знаходити рішення на основі фактів. Таких освітніх інструментів сьогодні є багато, частина з них є успішно адаптовані для українського користувача (хоча здебільшого вони є англомовними). Наприклад: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Microsoft Excel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Tableau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A86" w:rsidRDefault="006D1B9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Цифрові інструменти можуть бути корисними для розвитку саморегуляції та контролю емоцій. Наприклад, додатки для спостереження за диханням: Breathe2Relax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допомагають відстежувати ритм дихання та містять різноманітні вправи, які допоможуть зосередитися, заспокоїтися, знижувати рівень стресу.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Moodfit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допомагають відстежувати свої емоції та надають поради, як їх контролювати. Важливо не зловживати цифровими технологіями, і навчитися свідомо користуватися ними. Тому доцільно звернути увагу на формування правильного підходу до їх використання. Наприклад,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RescueTime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допомагає відстежувати час проведений перед екраном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смартфона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довготривалому використанні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можуть виникати проблеми зі здоров’ям, такі як напруга в очах, біль у шиї та спині. Використання годинника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такого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може, допомогти налаштувати таймер на перерву й забезпечити регулярні відпочинок від роботи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A86" w:rsidRDefault="006D1B9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із перспективних способів використання цифрових інструментів для розвитку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STEM-уроків. Для цього можна використовувати різноманітні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планування та спільної діяльності.</w:t>
      </w:r>
    </w:p>
    <w:p w:rsidR="000A3A86" w:rsidRDefault="006D1B9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Фундаментальною основою STEM-освіти є те, що, вона передбачає використання наукових методів пізнання, де наявні основні етапи наукової роботи, та передбачає формування навичок дослідницької діяльності. Наприклад, Go-Lab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Inquiry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це платформа для вчителів та учнів, що надає засоби для організації дослідницького навчання.</w:t>
      </w:r>
    </w:p>
    <w:p w:rsidR="000A3A86" w:rsidRDefault="006D1B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Зокрема, вчителям-користувачам портал надає:</w:t>
      </w:r>
    </w:p>
    <w:p w:rsidR="000A3A86" w:rsidRDefault="006D1B90" w:rsidP="0080234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сховище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навчально-дослідних просторів для використання у вивченні природничих явищ;</w:t>
      </w:r>
    </w:p>
    <w:p w:rsidR="000A3A86" w:rsidRDefault="006D1B90" w:rsidP="0080234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до середовища авторських розробок та інструментів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власних навчально-дослідних просторів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Graasp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та додатків для підтримки і супроводу дослідницького навчального процесу учнів;</w:t>
      </w:r>
    </w:p>
    <w:p w:rsidR="000A3A86" w:rsidRDefault="006D1B90" w:rsidP="0080234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підтримку та доступ до спільноти педагогів і науковців для полегшення використання навчального середовища Go-Lab та кращого розуміння дослідницької навчальної діяльності в класі.</w:t>
      </w:r>
    </w:p>
    <w:p w:rsidR="000A3A86" w:rsidRDefault="006D1B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Учням-користувачам портал надає можливості для набуття унікального досвіду взаємодії один з одним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 xml:space="preserve"> під час дослідницької діяльності, інтерфейси та сервіси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зрозуміл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проведення віддаленого та/або віртуального експерименту.</w:t>
      </w:r>
    </w:p>
    <w:p w:rsidR="000A3A86" w:rsidRDefault="006D1B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Go-Lab забезпечує доступ до більш ніж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створені в співпраці з провідними університетами та науковими організаціями з усього світу та охоплюють різні наукові дисципліни, такі, як фізика, хімія, біологія, екологія та інші.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STEM-освіта сприяє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молоді до вивчення технологій і розвитку важливих компетентностей майбутнього фахівця. Наприклад, успіхи компанії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презентація досягнень у тренуванні великих мовних моделей на прикладі GPT-n уже сьогодні зумовили потребу у фахівцях (prompt-інженер), що  займаються розробкою, редагуванням та оптимізацією текстових підказок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алгоритмів штучного інтелекту. Інженерія запитів для ШІ – це не тільки спосіб керування сервісами з підтримкою штучного інтелекту, а й інструмент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мовних моделей, який дозволяє навчати їх на основі конкретних запитів для отримання потрібних даних на виході. Цей процес поєднує в собі елементи логіки, програмування та потребує певного рівня креативності, а в деяких випадках – використання спеціальних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модифікаторів.”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Наприклад штучний інтелект сьогодні застосовується в багатьох галузях відповідно інженерія підказок охоплює значну частину сфер зайнятості. Наведемо кілька прикладів: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Генерація текстів.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Конструктори запитів можуть складати підказки для генерації текстів, призначених для додатків та сервісів різного типу (чат-ботів, віртуальних помічників), а також створення контенту, що розміщується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вебресурсах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 їхньою допомогою забезпечується точність, актуальність тексту і його відповідність певним вимогам.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Формулювання логічних висновків. </w:t>
      </w:r>
      <w:r>
        <w:rPr>
          <w:rFonts w:ascii="Times New Roman" w:eastAsia="Times New Roman" w:hAnsi="Times New Roman" w:cs="Times New Roman"/>
          <w:sz w:val="28"/>
          <w:szCs w:val="28"/>
        </w:rPr>
        <w:t>Генеративні мовні моделі мають здатність підсумовувати великі статті, багатосторінкові документи та навіть цілі книги. Правильно розроблені запити допомагають їм сконцентруватися на важливій інформації та лаконічно передати її зміст.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Переклади. </w:t>
      </w:r>
      <w:r>
        <w:rPr>
          <w:rFonts w:ascii="Times New Roman" w:eastAsia="Times New Roman" w:hAnsi="Times New Roman" w:cs="Times New Roman"/>
          <w:sz w:val="28"/>
          <w:szCs w:val="28"/>
        </w:rPr>
        <w:t>Штучний інтелект вміє легко, швидко і досить якісно перекладати тексти з однієї мови на іншу. Грамотно сформульовані підказки окреслюють правильний контекст, підвищуючи точність перекладу мовної моделі.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Медицина. </w:t>
      </w:r>
      <w:r>
        <w:rPr>
          <w:rFonts w:ascii="Times New Roman" w:eastAsia="Times New Roman" w:hAnsi="Times New Roman" w:cs="Times New Roman"/>
          <w:sz w:val="28"/>
          <w:szCs w:val="28"/>
        </w:rPr>
        <w:t>ШІ може виконати аналіз медичних записів, створити звіт, а в деяких випадках навіть допомогти лікарю прийняти клінічне рішення. Коректний запит забезпечить отримання максимально точних та, найголовніше, клінічно значущих даних.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Підтримка користувачів.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Служби технічної підтримки клієнтів сьогодні активно використовують штучний інтелект для створення чат-ботів і автоматизації відповідей на запитання клієнтів. Вдалі підказки допомагають чат-ботам давати користувачам актуальну, точну та корисну інформацію.</w:t>
      </w:r>
    </w:p>
    <w:p w:rsidR="000A3A86" w:rsidRDefault="006D1B90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Тому необхідно сприяти розвитку у школярів розуміння поняття 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штучний інтелект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(ШІ); знання можливостей впливу технологій 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>на професійну діяльність; здатні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критично і безпечно взаємодіяти з інтелектуальними системами, керованими ШІ. </w:t>
      </w:r>
    </w:p>
    <w:p w:rsidR="000A3A86" w:rsidRDefault="006D1B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організації освітнього процесу щодо формування і розвитку навичок науково-дослідницької та інженерної діяльності, винахідництва, підприємництва, раннього професійного самовизначення, популяризації науково-технічних та інженерних професій доцільно опрацювати нормативно-правові документи: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початкової освіти, затвердженого Постановою Кабінету Міністрів України від 21 лютого 2018 р. № 87;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базової середньої освіти, затвердженого Постановою Кабінету Міністрів України від 30 вересня 2020 р. № 898;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 988-р;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розвитку природничо-математичної освіти (STEM-освіти), затвердженої розпорядженням Кабінету Міністрів України від 05 серпня 2020 року № 960-р);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 заходів щодо реалізації Концепції розвитку природничо-математичної освіти (STEM-освіти) до 2027 року, затвердженого розпорядженням Кабінету Міністрів України від 13 січня 2021 року № 131-р;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 320-р;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МОН від 02.11.2017 №1440 "Про затвердження Типового переліку комп'ютерного обладнання для закладів дошкільної, загальної середньої та професійної (професійно-технічної) освіти"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МОН від 29.04.2020 № 574 "Про затвердження Типового переліку засобів навчання та обладнання для навчальних кабінетів  і STEM-</w:t>
      </w:r>
      <w:r w:rsidR="0080234E">
        <w:rPr>
          <w:rFonts w:ascii="Times New Roman" w:eastAsia="Times New Roman" w:hAnsi="Times New Roman" w:cs="Times New Roman"/>
          <w:sz w:val="28"/>
          <w:szCs w:val="28"/>
        </w:rPr>
        <w:t>лабораторій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Методичні рекомендації щодо розвитку STEM-освіти в закладах загальної середньої та позашкільної освіти у 2023/2024 навчальному році (Лист ДНУ ІМЗО від 28.12.2022 № 73).</w:t>
      </w:r>
    </w:p>
    <w:p w:rsidR="000A3A86" w:rsidRDefault="006D1B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«SТEM. 5–6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Артєм’єва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О.Є.) рекомендованої Міністерством освіти й науки України (наказ Міністерства освіти й науки України від 12.07.2021 № 795 (у редакції наказу Міністерства освіти й науки від 29.09.2021 № 1031).</w:t>
      </w:r>
    </w:p>
    <w:p w:rsidR="000A3A86" w:rsidRDefault="000A3A86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A86" w:rsidRDefault="000A3A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A3A86" w:rsidSect="000A3A86">
      <w:pgSz w:w="11909" w:h="16834"/>
      <w:pgMar w:top="850" w:right="832" w:bottom="541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3AF"/>
    <w:multiLevelType w:val="multilevel"/>
    <w:tmpl w:val="8124E3F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0DF7E43"/>
    <w:multiLevelType w:val="multilevel"/>
    <w:tmpl w:val="4B625B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78036E47"/>
    <w:multiLevelType w:val="multilevel"/>
    <w:tmpl w:val="CEDECD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3A86"/>
    <w:rsid w:val="000A3A86"/>
    <w:rsid w:val="004548CC"/>
    <w:rsid w:val="006C6DDA"/>
    <w:rsid w:val="006D1B90"/>
    <w:rsid w:val="0080234E"/>
    <w:rsid w:val="009F574A"/>
    <w:rsid w:val="00BD1E19"/>
    <w:rsid w:val="00DB3CC3"/>
    <w:rsid w:val="00F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A86"/>
  </w:style>
  <w:style w:type="paragraph" w:styleId="1">
    <w:name w:val="heading 1"/>
    <w:basedOn w:val="a"/>
    <w:next w:val="a"/>
    <w:rsid w:val="000A3A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A3A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A3A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A3A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A3A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A3A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3A86"/>
  </w:style>
  <w:style w:type="table" w:customStyle="1" w:styleId="TableNormal">
    <w:name w:val="Table Normal"/>
    <w:rsid w:val="000A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3A86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A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0A3A8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4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3362"/>
    <w:rPr>
      <w:rFonts w:ascii="Tahoma" w:hAnsi="Tahoma" w:cs="Tahoma"/>
      <w:sz w:val="16"/>
      <w:szCs w:val="16"/>
    </w:rPr>
  </w:style>
  <w:style w:type="paragraph" w:customStyle="1" w:styleId="LO-normal1">
    <w:name w:val="LO-normal1"/>
    <w:qFormat/>
    <w:rsid w:val="00FA679E"/>
    <w:pPr>
      <w:widowControl w:val="0"/>
      <w:suppressAutoHyphens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1r+rPuVjVjtorrgkeWuyrPOjA==">CgMxLjAyCGguZ2pkZ3hzOAByITFUbHZRZ2RYSkZDd2NQT1lySlJhMTFXQURpVXNONTBEbw==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11275</Words>
  <Characters>6427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2023-03-14T14:01:00Z</dcterms:created>
  <dcterms:modified xsi:type="dcterms:W3CDTF">2024-12-12T08:48:00Z</dcterms:modified>
</cp:coreProperties>
</file>