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07" w:rsidRDefault="00055B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Методичні рекомендації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педагогічним працівникам закладів загальної середньої освіти на тему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STEM-освіта як основа розуміння технологій у сучасному світі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44D07" w:rsidRPr="0015213F" w:rsidRDefault="00055B15" w:rsidP="00055B15">
      <w:pPr>
        <w:pStyle w:val="LO-normal1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5213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Олексюк</w:t>
      </w:r>
      <w:proofErr w:type="spellEnd"/>
      <w:r w:rsidRPr="0015213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Олеся Романівна, </w:t>
      </w:r>
      <w:r w:rsidRPr="0015213F">
        <w:rPr>
          <w:rFonts w:ascii="Times New Roman" w:eastAsia="Times New Roman" w:hAnsi="Times New Roman" w:cs="Times New Roman"/>
          <w:i/>
          <w:sz w:val="28"/>
          <w:szCs w:val="28"/>
        </w:rPr>
        <w:t>кандидат педагогічних наук, доцент кафедри змісту і методик навчальних предметів</w:t>
      </w:r>
    </w:p>
    <w:p w:rsidR="00055B15" w:rsidRDefault="00055B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Актуальність формування STEM-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учнів та учениць для розуміння сучасних технологій важко переоцінити. У сучасному світі, де технології розвиваються з неймовірною швидкістю, STEM-освіта (наука, технології, інженерія та математика) стає основою, яка дозволяє учням не тільки сприймати інновації, а й розуміти їх суть та принципи роботи. Ось ключові 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Світ стає все більш інтегрованим, і STEM-освіта дозволяє учням не лише розуміти, але й активно впливати на вирішення глобальних проблем. Зміна клімату, збереження здоров'я, енергетичні виклики – це лише деякі з питань, які потребують уваги та розуміння з боку майбутніх поколінь. STEM-освіта готує учнів до того, щоб вони могли розробляти і впроваджувати стійкі та ефективні рішення для цих проблем.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Традиційні педагогічні методи викладання не здатні задовольнити потреби сучасної STEM-освіти. Впровадження нових методик є критично важливим для ефективного навчання та формування необхідних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STEM вимагає поєднання змісту різних предметів на основі дослідницько-проектної діяльності. Це допомагає учням зрозуміти взаємозв'язок між наукою, технологією, інженерією та математикою, а також розвивати цілісне бачення проблем сучасного світу.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Акцент на дослідницько-проектній діяльності сприяє розвитку критичного мислення, творчості та навичок вирішення проблем. Учні навчаються ставити питання, проводити дослідження, аналізувати дані та знаходити практичні рішення.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Успішне впровадження STEM-освіти залежить від наявності сучасного обладнання та вміння педагогів працювати з цифровими технологіями. Це включає використання інтерактивних платформ, віртуальних лабораторій, 3D-друку та інших технологічних інструментів, які роблять навчання більш цікавим та ефективним.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сучасних технологій значно змінює підхід до досягнення освітніх цілей. Учні стають не просто пасивними учасниками навчального процесу, а активними творцями своєї освітньої траєкторії в розвинутому освітньому середовищі. Важлива функція вчителя – підтримати своїх учнів та учениць в їх діяльності: сприяти успішному просуванню в потоці навчальної інформації, полегшити рішення виникаючих проблем, навчити вчитися. У світовому освітньому співтоваристві в зв'язку з цим став використовуватися новий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термін, що підкреслює велике значення цієї функції вчителя,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facilitator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–фасилітатор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(той, хто сприяє, полегшує, допомагає вчитися).</w:t>
      </w:r>
    </w:p>
    <w:p w:rsidR="00144D07" w:rsidRDefault="00144D0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D07" w:rsidRDefault="00055B1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Значною перевагою цифрового освітнього середовища є можливість доступу через мережу Internet, що розширить коло користувачів, а також дозволить зв’язок їх між собою та з вчителем. Таким чином можливе управління навчанням, надання консультацій, організація обговорень. В навчанні і вихованні можна досягти визначних успіхів лише тоді, коли вчитель буде мати уявлення про хід навчання кожного, хто навчається, його відношенні до нього, якщо зможе мотивувати і заохочувати активність, удосконалювати культуру навчальної праці. 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Концепції розвитку природничо-математичної освіти (STEM-освіти) (схвалено розпорядженням КМУ від 5 серпня 2020 р. № 960-р) зазначено, що «навчальні методики та навчальні програми природничо-математичної освіти (STEM-освіти) спрямовані на задоволення попиту на наукоємну освіту, формування актуальних на ринку праці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Поряд з розвитком когнітивних навичок, навичок обробляти інформацію, інтерпретувати та аналізувати данні; інженерного мислення; науково-дослідницьких навичок; креативних якостей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технологічних навичок, навичок комунікації, важливим є розвиток алгоритмічного мислення та цифрової грамотності. Останнє в Концепції визначається як «ефективне використання цифрових технологій для комунікації, обробки інформації, інтерпретації та аналізу даних, формулювання проблем та їх розв’язання у вигляді комп’ютерних алгоритмів, які можуть бути автоматично оброблені; складення інструкцій або алгоритмів, що дають змогу виконати певні завдання за допомогою відповідної техніки». 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Україні впродовж останніх років здійснено значні кроки щодо формування сучасного цифрового освітнього середовища в ЗЗСО та розвитку інформаційно-цифрової компетентності учасників освітнього процесу. Створюється низка платформ для підтримки цифрової освіти в рамках реформ, що покликані бути рушієм істотних змін в освітньому процесі та започаткувати ринок виробництва електронних освітніх продуктів і сервісів в Україні. Беззаперечним є той факт, що використання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комп’ютерної техніки мотивує та зацікавлює учнівство до навчання, унаочнює традиційні заняття різноманітними інтерактивними видами діяльності, що також сприяє формуванню та розвитку креативності, творчості та критичного мислення, які є пріоритетними у новітньому світі технологічних можливостей.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Сучасні технології та цифрові ресурси можуть бути корисними для розвитку  STEM-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учнів, тому педагог повинен шукати таких способів і методів роботи, які будуть максимально ефективними для представлення нового матеріалу, цікавими та доступними для розуміння сучасними учнями. Поширеними засобами навчання, які впливатимуть на формування STEM-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учнів,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робототехнічні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засоби для моделювання, конструювання, різноманітні лабораторні приладдя, електронні пристрої (наприклад, комп’ютери, телефони, планшети,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3D-принтери, інтерактивні дошки,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столи), засоби ІКТ навчання (спеціально створені та адаптовані).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розвитку математичної компетентності застосування цифрових технологій сприяє розумінню складних понять шляхом використання візуальних елементів, стимулює активність учнів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інтерактивність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допомагає формувати дослідницькі навички шляхом власного експериментування та дослідження. Впровадження нових освітніх технологій, мережевих ресурсів, цифрових інструментів сприяє розвитку критичного мислення, навчає аналізувати та опрацьовувати інформацію.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Відкриті віртуальні класи, автоматизовані лабораторні практикуми віддаленого доступу надають учням можливості для представлення навчального матеріалу засобами інтерактивних, презентацій, електронного блокнота та ін. Щоб розвивати навички співпраці та спільної роботи, а також збільшити ефективність навчання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онлайн-режимі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доцільно використовувати цифрові інструменти, наприклад,  віртуальні кімнати для зустрічей та обговорень.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Trello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Також можна використовувати соціальні мережі та форуми обговорення тем та платформи для спільного створення проєктів.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Також доцільно використовувати в процесі навчання організації навчання технологію «перевернутого» навчання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flіpped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learnіng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Вона передбачає, що учні спочатку самостійно, у позаурочний час, вивчають новий матеріал за допомогою перегляду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відеоуроків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додаткових джерел. Потім на заняттях разом обговорюють нові поняття, ідеї, в цей час 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 обговорення і допомагає застосовувати нові знання на практиці. Технологія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гейміфікації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теж ефективною під час вивчення навчання, вона зумовлює імітацію реальної ситуації на принципах гри, що надасть можливості для формування якісних зв’язків між теоретичними концепціями та практичними знаннями.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розвитку творчості можна використовувати різноманітні сервіси для створення відео, аудіо та інших мультимедійних ресурсів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Сanva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Animoto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Audacity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Spark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Наприклад, учні можуть створити власний відеоролик,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подкаст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те, як вони розуміють певну тему або концепцію.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Онлайн-інструменти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аналізу даних та статистичного моделювання можуть допомогти вчителям та учням проводити аналіз даних та знаходити рішення на основі фактів. Таких освітніх інструментів сьогодні є багато, частина з них є успішно адаптовані для українського користувача (хоча здебільшого вони є англомовними). Наприклад: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Sheets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Microsoft Excel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Tableau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D07" w:rsidRDefault="00055B1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Цифрові інструменти можуть бути корисними для розвитку саморегуляції та контролю емоцій. Наприклад, додатки для спостереження за диханням: Breathe2Relax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Breath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допомагають відстежувати ритм дихання та містять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різноманітні вправи, які допоможуть зосередитися, заспокоїтися, знижувати рівень стресу.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Moodfit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MoodMission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допомагають відстежувати свої емоції та надають поради, як їх контролювати. Важливо не зловживати цифровими технологіями, і навчитися свідомо користуватися ними. Тому доцільно звернути увагу на формування правильного підходу до їх використання. Наприклад,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RescueTime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допомагає відстежувати час проведений перед екраном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смартфона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 довготривалому використанні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можуть виникати проблеми зі здоров’ям, такі як напруга в очах, біль у шиї та спині. Використання годинника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такого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Pomodoro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може, допомогти налаштувати таймер на перерву й забезпечити регулярні відпочинок від роботи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із перспективних способів використання цифрових інструментів для розвитку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STEM-уроків. Для цього можна використовувати різноманітні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для планування та спільної діяльності.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Фундаментальною основою STEM-освіти є те, що, вона передбачає використання наукових методів пізнання, де наявні основні етапи наукової роботи, та передбачає формування навичок дослідницької діяльності. Наприклад, Go-Lab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Inquiry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— це платформа для вчителів та учнів, що надає засоби для організації дослідницького навчання.</w:t>
      </w:r>
    </w:p>
    <w:p w:rsidR="00144D07" w:rsidRDefault="00055B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Зокрема, вчителям-користувачам портал надає:</w:t>
      </w:r>
    </w:p>
    <w:p w:rsidR="00144D07" w:rsidRDefault="00055B1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сховище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онлайн-лабораторій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навчально-дослідних просторів для використання у вивченні природничих явищ;</w:t>
      </w:r>
    </w:p>
    <w:p w:rsidR="00144D07" w:rsidRDefault="00055B1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 до середовища авторських розробок та інструментів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власних навчально-дослідних просторів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Graasp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та додатків для підтримки і супроводу дослідницького навчального процесу учнів;</w:t>
      </w:r>
    </w:p>
    <w:p w:rsidR="00144D07" w:rsidRDefault="00055B1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підтримку та доступ до спільноти педагогів і науковців для полегшення використання навчального середовища Go-Lab та кращого розуміння дослідницької навчальної діяльності в класі.</w:t>
      </w:r>
    </w:p>
    <w:p w:rsidR="00144D07" w:rsidRDefault="00055B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Учням-користувачам портал надає можливості для набуття унікального досвіду взаємодії один з одним під час дослідницької діяльності, інтерфейси та сервіси максимально зрозумілі для проведення віддаленого та/або віртуального експерименту.</w:t>
      </w:r>
    </w:p>
    <w:p w:rsidR="00144D07" w:rsidRDefault="00055B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Go-Lab забезпечує доступ до більш ніж 400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онлайн-лабораторій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створені в співпраці з провідними університетами та науковими організаціями з усього світу та охоплюють різні наукові дисципліни, такі, як фізика, хімія, біологія, екологія та інші.</w:t>
      </w:r>
    </w:p>
    <w:p w:rsidR="00144D07" w:rsidRDefault="00055B15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STEM-освіта сприяє залученню молоді до вивчення технологій і розвитку важливих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майбутнього фахівця. Наприклад, успіхи компанії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презентація досягнень у тренуванні великих мовних моделей на прикладі GPT-n уже сьогодні зумовили потребу у фахівцях (prompt-інженер), що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займаються розробкою, редагуванням та оптимізацією текстових підказок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для алгоритмів штучного інтелекту. Інженерія запитів для ШІ – це не тільки спосіб керування сервісами з підтримкою штучного інтелекту, а й інструмент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великих мовних моделей, який дозволяє навчати їх на основі конкретних запитів для отримання потрібних даних на виході. Цей процес поєднує в собі елементи логіки, програмування та потребує певного рівня креативності, а в деяких випадках – використання спеціальних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модифікаторів.”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Наприклад штучний інтелект сьогодні застосовується в багатьох галузях відповідно інженерія підказок охоплює значну частину сфер зайнятості. Наведемо кілька прикладів:</w:t>
      </w:r>
    </w:p>
    <w:p w:rsidR="00144D07" w:rsidRDefault="00055B15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Генерація текстів.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Конструктори запитів можуть складати підказки для генерації текстів, призначених для додатків та сервісів різного типу (чат-ботів, віртуальних помічників), а також створення контенту, що розміщується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вебресурсах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 їхньою допомогою забезпечується точність, актуальність тексту і його відповідність певним вимогам.</w:t>
      </w:r>
    </w:p>
    <w:p w:rsidR="00144D07" w:rsidRDefault="00055B15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Формулювання логічних висновків. </w:t>
      </w:r>
      <w:r>
        <w:rPr>
          <w:rFonts w:ascii="Times New Roman" w:eastAsia="Times New Roman" w:hAnsi="Times New Roman" w:cs="Times New Roman"/>
          <w:sz w:val="28"/>
          <w:szCs w:val="28"/>
        </w:rPr>
        <w:t>Генеративні мовні моделі мають здатність підсумовувати великі статті, багатосторінкові документи та навіть цілі книги. Правильно розроблені запити допомагають їм сконцентруватися на важливій інформації та лаконічно передати її зміст.</w:t>
      </w:r>
    </w:p>
    <w:p w:rsidR="00144D07" w:rsidRDefault="00055B15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Переклади. </w:t>
      </w:r>
      <w:r>
        <w:rPr>
          <w:rFonts w:ascii="Times New Roman" w:eastAsia="Times New Roman" w:hAnsi="Times New Roman" w:cs="Times New Roman"/>
          <w:sz w:val="28"/>
          <w:szCs w:val="28"/>
        </w:rPr>
        <w:t>Штучний інтелект вміє легко, швидко і досить якісно перекладати тексти з однієї мови на іншу. Грамотно сформульовані підказки окреслюють правильний контекст, підвищуючи точність перекладу мовної моделі.</w:t>
      </w:r>
    </w:p>
    <w:p w:rsidR="00144D07" w:rsidRDefault="00055B15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Медицина. </w:t>
      </w:r>
      <w:r>
        <w:rPr>
          <w:rFonts w:ascii="Times New Roman" w:eastAsia="Times New Roman" w:hAnsi="Times New Roman" w:cs="Times New Roman"/>
          <w:sz w:val="28"/>
          <w:szCs w:val="28"/>
        </w:rPr>
        <w:t>ШІ може виконати аналіз медичних записів, створити звіт, а в деяких випадках навіть допомогти лікарю прийняти клінічне рішення. Коректний запит забезпечить отримання максимально точних та, найголовніше, клінічно значущих даних.</w:t>
      </w:r>
    </w:p>
    <w:p w:rsidR="00144D07" w:rsidRDefault="00055B15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Підтримка користувачів.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Служби технічної підтримки клієнтів сьогодні активно використовують штучний інтелект для створення чат-ботів і автоматизації відповідей на запитання клієнтів. Вдалі підказки допомагають чат-ботам давати користувачам актуальну, точну та корисну інформацію.</w:t>
      </w:r>
    </w:p>
    <w:p w:rsidR="00144D07" w:rsidRDefault="00055B15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Тому необхідно сприяти розвитку у школярів розуміння поняття «штучний інтелект»; знання можливостей впливу технологій на професійну діяльність; здатність критично і безпечно взаємодіяти з інтелектуальними системами, керованими ШІ. </w:t>
      </w:r>
    </w:p>
    <w:p w:rsidR="00144D07" w:rsidRDefault="00055B1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організації освітнього процесу щодо формування і розвитку навичок науково-дослідницької та інженерної діяльності, винахідництва, підприємництва, раннього професійного самовизначення, популяризації науково-технічних та інженерних професій доцільно опрацювати нормативно-правові документи: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Закони України «Про освіту», «Про повну загальну середню освіту», «Про позашкільну освіту», «Про наукову та науково-технічну діяльність», «Про інноваційну діяльність»;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Державного стандарту початкової освіти, затвердженого Постановою Кабінету Міністрів України від 21 лютого 2018 р. № 87;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Державного стандарту базової середньої освіти, затвердженого Постановою Кабінету Міністрів України від 30 вересня 2020 р. № 898;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року, затвердженої розпорядженням Кабінету Міністрів України від 14 грудня 2016 року № 988-р;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Концепції розвитку природничо-математичної освіти (STEM-освіти), затвердженої розпорядженням Кабінету Міністрів України від 05 серпня 2020 року № 960-р);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заходів щодо реалізації Концепції розвитку природничо-математичної освіти (STEM-освіти) до 2027 року, затвердженого розпорядженням Кабінету Міністрів України від 13 січня 2021 року № 131-р;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заходів щодо популяризації природничих наук та математики до 2025 року, затвердженого розпорядженням Кабінету Міністрів України від 14 квітня 2021 року № 320-р;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МОН від 02.11.2017 №1440 "Про затвердження Типового переліку комп'ютерного обладнання для закладів дошкільної, загальної середньої та професійної (професійно-технічної) освіти"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МОН від 29.04.2020 № 574 "Про затвердження Типового переліку засобів навчання та обладнання для навчальних кабінетів  і STEM-лабораторій"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Методичні рекомендації щодо розвитку STEM-освіти в закладах загальної середньої та позашкільної освіти у 2024/2025 навчальному році (Лист ДНУ ІМЗО від 12.08.2024 № 21/08-1242).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Модельна навчальна програма «SТEM. 5–6 класи (міжгалузевий інтегрований курс)» для закладів загальної середньої освіти (авт.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Бутурліна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Артєм’єва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О.Є.) рекомендованої Міністерством освіти й науки України (наказ Міністерства освіти й науки України від 12.07.2021 № 795 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Модельна навчальна програма «STEM. 7-9 класи (міжгалузевий інтегрований курс)» для закладів загальної середньої освіти (авт.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Бутурліна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Артємєва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Є.,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Крижановський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Мізіченко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Мостепан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М., Новікова Г.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Хорищенко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А.)(наказ Міністерства освіти і науки України від 14 серпня 2024 року № 1138)</w:t>
      </w:r>
    </w:p>
    <w:p w:rsidR="00144D07" w:rsidRDefault="00055B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Модельна навчальна програма «STEM. 7-9 класи (міжгалузевий інтегрований курс)» для закладів загальної середньої освіти (авт.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Засєкіна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М., Коршунова О.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Василашко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 П.) (наказ Міністерства освіти і науки України від 14 серпня 2024 року № 1138) </w:t>
      </w:r>
    </w:p>
    <w:p w:rsidR="00144D07" w:rsidRDefault="00144D07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D07" w:rsidRDefault="00144D0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44D07" w:rsidSect="00144D07">
      <w:pgSz w:w="11909" w:h="16834"/>
      <w:pgMar w:top="850" w:right="832" w:bottom="541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7EEB"/>
    <w:multiLevelType w:val="multilevel"/>
    <w:tmpl w:val="A70260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6ECD1066"/>
    <w:multiLevelType w:val="multilevel"/>
    <w:tmpl w:val="815AF67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hyphenationZone w:val="425"/>
  <w:characterSpacingControl w:val="doNotCompress"/>
  <w:compat/>
  <w:rsids>
    <w:rsidRoot w:val="00144D07"/>
    <w:rsid w:val="00055B15"/>
    <w:rsid w:val="00144D07"/>
    <w:rsid w:val="0015213F"/>
    <w:rsid w:val="00F8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A86"/>
  </w:style>
  <w:style w:type="paragraph" w:styleId="1">
    <w:name w:val="heading 1"/>
    <w:basedOn w:val="a"/>
    <w:next w:val="a"/>
    <w:rsid w:val="000A3A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A3A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A3A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A3A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A3A8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A3A8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44D07"/>
  </w:style>
  <w:style w:type="table" w:customStyle="1" w:styleId="TableNormal">
    <w:name w:val="Table Normal"/>
    <w:rsid w:val="00144D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A3A86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0A3A86"/>
  </w:style>
  <w:style w:type="table" w:customStyle="1" w:styleId="TableNormal0">
    <w:name w:val="Table Normal"/>
    <w:rsid w:val="000A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A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144D07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43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43362"/>
    <w:rPr>
      <w:rFonts w:ascii="Tahoma" w:hAnsi="Tahoma" w:cs="Tahoma"/>
      <w:sz w:val="16"/>
      <w:szCs w:val="16"/>
    </w:rPr>
  </w:style>
  <w:style w:type="paragraph" w:customStyle="1" w:styleId="LO-normal1">
    <w:name w:val="LO-normal1"/>
    <w:qFormat/>
    <w:rsid w:val="00055B15"/>
    <w:pPr>
      <w:widowControl w:val="0"/>
      <w:suppressAutoHyphens/>
    </w:pPr>
    <w:rPr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jszPJTR8RJXLq8+GzR0VJ53pA==">CgMxLjAyCGguZ2pkZ3hzOAByITE0QzZsUVBsejJxbEwwMTZvNkJ3LWRCWEVMMk0wbl93aA==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10149</Words>
  <Characters>5786</Characters>
  <Application>Microsoft Office Word</Application>
  <DocSecurity>0</DocSecurity>
  <Lines>48</Lines>
  <Paragraphs>31</Paragraphs>
  <ScaleCrop>false</ScaleCrop>
  <Company/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2023-03-14T14:01:00Z</dcterms:created>
  <dcterms:modified xsi:type="dcterms:W3CDTF">2024-12-12T08:50:00Z</dcterms:modified>
</cp:coreProperties>
</file>