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BA" w:rsidRDefault="005D60BA" w:rsidP="005D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BA">
        <w:rPr>
          <w:rFonts w:ascii="Times New Roman" w:hAnsi="Times New Roman" w:cs="Times New Roman"/>
          <w:b/>
          <w:sz w:val="28"/>
          <w:szCs w:val="28"/>
        </w:rPr>
        <w:t>Методичні рекомен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дації педагогічним працівникам </w:t>
      </w:r>
    </w:p>
    <w:p w:rsidR="005D60BA" w:rsidRDefault="005D60BA" w:rsidP="005D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60BA">
        <w:rPr>
          <w:rFonts w:ascii="Times New Roman" w:hAnsi="Times New Roman" w:cs="Times New Roman"/>
          <w:b/>
          <w:sz w:val="28"/>
          <w:szCs w:val="28"/>
        </w:rPr>
        <w:t>Діагностування ефективності інноваційного розвитку закладів освіти</w:t>
      </w:r>
    </w:p>
    <w:p w:rsidR="005D60BA" w:rsidRDefault="005D60BA" w:rsidP="005D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BA">
        <w:rPr>
          <w:rFonts w:ascii="Times New Roman" w:hAnsi="Times New Roman" w:cs="Times New Roman"/>
          <w:b/>
          <w:sz w:val="28"/>
          <w:szCs w:val="28"/>
        </w:rPr>
        <w:t>Тернопільської області та готовності педагогічних працівників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здійснення такої діяльності»</w:t>
      </w:r>
    </w:p>
    <w:bookmarkEnd w:id="0"/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На сучасному етапі становлення національної освіти у напрямку входження до європейського та світового освітніх просторів одними з найбільш актуальних аспектів є екологічна безпека та збереження здоров’я всіх учасників освітнього процесу.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Екологічна парадигма задає нові перспективи для організації знання, орієнтує на пошук нових засобів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співбуття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світу природи й світу культури, осмислення шляхів спільної еволюції. Важливу роль у цьому відіграють екологічні пізнавальні орієнтації, або моделі пізнання.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за їх допомогою рівні реальності віддзеркалюють рівні взаємодії людини та природи на певному історичному етапі суспільного розвитку.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За екологічними принципами мають функціонувати й пізнавально-виховні моделі сучасної школи, побудовані з урахуванням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середовищного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підходу. Він дає можливість відійти від лінійності мислення, директивної трансляції абсолютних істин, притаманних класичному етапу освіти, та звернутися до розвитку цілісного сприйняття світу. В умовах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поліпарадигмальної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культури» (М.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Бахтін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), багатоманітності способів пізнання особистість має можливість самостійно вибудовувати уявлення про реальність. При цьому змінюється позиція педагога – з «носія знань» на «організатора складної, напруженої особистісної роботи учня» (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В. Швир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ьов), а школярі мають стати свідомими, відповідальними суб’єктами освіти, спроможними спланувати та реалізувати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власного життєвого шляху, спираючись на екологічні цінності та усвідомлення своєї місії у добу екологічної кризи.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Необхідність цілеспрямованого формування освітнього простору сучасної загальноосвітньої школи та його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обумовлена суперечностями між: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– традиційною орієнтацією педагогічної теорії і практики на безпосередні взаємодії педагогів і учнів в освітньому процесі та неорганізованим впливом навколишнього середовища, яке часто не в змозі забезпечити необхідні виховні результати;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– актуальністю спеціальної організації освітнього простору і нестачею науково-технологічного забезпечення цього процесу;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– соціальним запитом на екологічно активну і компетентну особистість та загально інформативною спрямованістю освітнього процесу;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– необхідністю цілісного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еколого-виховного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впливу на особистість та дискретним характером екологічних педагогічних впливів на школярів.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освіти означає формування нового світорозуміння і новий підхід до діяльності, застосований на формуванні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ноосферно-гуманітарних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і екологічних цінностей, – зазначає А. Селіванова.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На перетині понять «освітній простір» і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» лежить уточнене і змістовно визначене у дослідженні О. Писаревої поняття «екологічно орієнтований освітній </w:t>
      </w:r>
      <w:r w:rsidRPr="005D60BA">
        <w:rPr>
          <w:rFonts w:ascii="Times New Roman" w:hAnsi="Times New Roman" w:cs="Times New Roman"/>
          <w:sz w:val="28"/>
          <w:szCs w:val="28"/>
        </w:rPr>
        <w:lastRenderedPageBreak/>
        <w:t xml:space="preserve">простір» – спеціально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спрогнозована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, змодельована і організована педагогічна система умов цілеспрямованого сприяння розвитку особистості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екоцентричного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типу [2].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процесу має бути одним з головних завдань екологічної політики будь-якої сучасної держави. Учні, опановуючи навчальні дисципліни, повинні розуміти свою відповідальність і навіть обов’язок за збереження середовища в якому вони проживають. Приділення уваги проблемам екології означає посилення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еколого-світоглядних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векторів виховання, включення до змісту освіти результатів наукових досліджень [1].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Поряд із цим ключове завдання сучасної освіти полягає у формуванні не тільки екологічно толерантної, а й здорової, соціально активної, високо інтелектуальної та національно свідомої особистості. Сучасний ринок праці вимагає від випускника закладу освіти добре сформованих навичок самостійно застосовувати здобуті теоретичні знання як у стандартних, так і в непередбачуваних життєвих ситуаціях. Тому надзвичайно важливою постає проблема розвитку ключових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громадян, які вмітимуть працювати в команді, вирішувати складні проблеми, швидко адаптуватися до нових вимог, володіти своїми емоціями та розуміти інших, усвідомлено ставитимуться до необхідності берегти здоров’я як своє, так і оточуючих людей, а також створювати для цього необхідні умови, адекватно реагувати на нові виклики, навчатися впродовж усього життя тощо.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В основі формування екологічно безпечного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здоров’язбережувального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середовища у закладах освіти шляхом упровадження інноваційного освітнього експерименту регіонального рівня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ЕКО-школа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» лежить реалізація наскрізних змістових ліній «Екологічна безпека і сталий розвиток», «Здоров’я і безпека», що створює умови для розвитку здорової, екологічно толерантної, гармонійно розвинутої особистості та творчої самореалізації кожного громадянина України, розв’язує проблему підготовки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вчителя-інноватора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Діяльність закладу освіти, в якому реалізовується експеримент, ґрунтується на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компетентнісному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зорієнтованому,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діяльнісному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, системному, диференційованому, модульному, аксіологічному та інтегративному підходах до навчання.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Впровадження інноваційного освітнього експерименту регіонального рівня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ЕКО-школа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» спрямована на вирішення проблем сталого розвитку закладів освіти засобами інтеграції змісту освіти й організаційних форм освітнього процесу щодо формування екологічно безпечного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здоров’язбережувального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середовища задля ефективної реалізації освітніх траєкторій та програм розвитку кожного учня з урахуванням пріоритетів збереження та зміцнення здоров’я всіх суб’єктів педагогічного процесу.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З метою діагностування ефективності інноваційного розвитку закладів освіти Тернопільської області відповідно до програми інноваційного освітнього експерименту </w:t>
      </w:r>
      <w:r w:rsidRPr="005D60BA">
        <w:rPr>
          <w:rFonts w:ascii="Times New Roman" w:hAnsi="Times New Roman" w:cs="Times New Roman"/>
          <w:sz w:val="28"/>
          <w:szCs w:val="28"/>
        </w:rPr>
        <w:lastRenderedPageBreak/>
        <w:t>регіонального рівня на тему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ЕКО-школа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» визначено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такі компоненти готовності педагог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ічних працівників до формування екологічно безпечного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здоров’язбережувального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середовища в закладах освіти Тернопільської області: мотиваційно-цільовий, змістовно-операційний,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регулятивно-корекційний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та аналітико-результативний. А також розроблено критерії та показники (таблиця 1), за якими можна чітко визначити рівні готовності педагогічних працівників до формування екологічно безпечного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здоров’язбережувального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середовища в закладах освіти Тернопільської області шляхом реалізації інноваційного освітнього експерименту регіонального рівня на тему «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ЕКО-школа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» (таблиця 2).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60BA">
        <w:rPr>
          <w:rFonts w:ascii="Times New Roman" w:hAnsi="Times New Roman" w:cs="Times New Roman"/>
          <w:sz w:val="16"/>
          <w:szCs w:val="16"/>
        </w:rPr>
        <w:t>Таблиця 1.</w: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7513"/>
      </w:tblGrid>
      <w:tr w:rsidR="005D60BA" w:rsidRPr="005D60BA" w:rsidTr="005D60BA">
        <w:tc>
          <w:tcPr>
            <w:tcW w:w="28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Критерії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244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</w:p>
        </w:tc>
      </w:tr>
      <w:tr w:rsidR="005D60BA" w:rsidRPr="005D60BA" w:rsidTr="005D60BA">
        <w:trPr>
          <w:trHeight w:val="1095"/>
        </w:trPr>
        <w:tc>
          <w:tcPr>
            <w:tcW w:w="287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Екологічна активність педагога.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24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Формування екологічної компетентності школярів під час освітнього процесу. Участь в екологічних акціях,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проєктах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тощо. Організація позакласної екологічної діяльності. Організація досліджень екологічного спрямування.</w:t>
            </w:r>
          </w:p>
        </w:tc>
      </w:tr>
      <w:tr w:rsidR="005D60BA" w:rsidRPr="005D60BA" w:rsidTr="005D60BA">
        <w:tc>
          <w:tcPr>
            <w:tcW w:w="28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Наявність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складової в педагогічній діяльності.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24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Формування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компетентності під час освітнього процесу. Використання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здоров’язбережувальних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технологій під час навчальних занять. Залучення учасників освітнього процесу до позакласної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діяльності. Участь у масових заходах з популяризації здорового способу життя.</w:t>
            </w:r>
          </w:p>
        </w:tc>
      </w:tr>
      <w:tr w:rsidR="005D60BA" w:rsidRPr="005D60BA" w:rsidTr="005D60BA">
        <w:tc>
          <w:tcPr>
            <w:tcW w:w="287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Ставлення до інноваційної діяльності.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24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Зацікавленість педагогічних працівників в освітній інноваційній діяльності. Використання інноваційних технологій під час освітнього процесу. Впровадження педагогічних інновацій в освітній процес. Моделювання власної педагогічної діяльності на основі освітніх інновацій.</w:t>
            </w:r>
          </w:p>
        </w:tc>
      </w:tr>
      <w:tr w:rsidR="005D60BA" w:rsidRPr="005D60BA" w:rsidTr="005D60BA">
        <w:tc>
          <w:tcPr>
            <w:tcW w:w="28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Участь в дослідно-експериментальній роботі.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81" w:type="dxa"/>
              <w:left w:w="181" w:type="dxa"/>
              <w:bottom w:w="181" w:type="dxa"/>
              <w:right w:w="181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24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Зацікавленість педагогічних працівників в дослідно-експериментальній роботі. Творче використання наявних педагогічних досягнень для дослідно-експериментальної роботи. Володіння технологіями організації та проведення дослідно-експериментальної роботи. Творче перетворення освітнього середовища шляхом реалізації дослідно-експериментальної роботи.</w:t>
            </w:r>
          </w:p>
        </w:tc>
      </w:tr>
    </w:tbl>
    <w:p w:rsid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60BA">
        <w:rPr>
          <w:rFonts w:ascii="Times New Roman" w:hAnsi="Times New Roman" w:cs="Times New Roman"/>
          <w:sz w:val="16"/>
          <w:szCs w:val="16"/>
        </w:rPr>
        <w:t>Таблиця 2.</w:t>
      </w:r>
    </w:p>
    <w:tbl>
      <w:tblPr>
        <w:tblW w:w="11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2200"/>
        <w:gridCol w:w="2825"/>
        <w:gridCol w:w="3480"/>
        <w:gridCol w:w="1418"/>
        <w:gridCol w:w="1014"/>
      </w:tblGrid>
      <w:tr w:rsidR="005D60BA" w:rsidRPr="005D60BA" w:rsidTr="005D60BA">
        <w:trPr>
          <w:gridAfter w:val="1"/>
          <w:wAfter w:w="1014" w:type="dxa"/>
        </w:trPr>
        <w:tc>
          <w:tcPr>
            <w:tcW w:w="91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Рівні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-68" w:firstLine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Екологічна активність педагога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Наявність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здоров’язбережу-вальної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складової в педагогічній діяльності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Ставлення до інноваційної діяльності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tabs>
                <w:tab w:val="left" w:pos="986"/>
              </w:tabs>
              <w:spacing w:after="0"/>
              <w:ind w:left="-68" w:firstLine="2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Участь в дослідно-експериментальній роботі</w:t>
            </w:r>
          </w:p>
        </w:tc>
      </w:tr>
      <w:tr w:rsidR="005D60BA" w:rsidRPr="005D60BA" w:rsidTr="005D60BA">
        <w:tc>
          <w:tcPr>
            <w:tcW w:w="919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Високий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-68" w:firstLine="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Формуванню екологічної компетентності школярів приділяє значну увагу, здійснює його систематично як під час навчальних занять, так і в позакласній діяльності. Активно бере участь в екологічних масових заходах. До позакласної екологічної навчальної діяльності намагається залучати усіх учасників освітнього процесу. Часто </w:t>
            </w: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організовує дослідження екологічного спрямування.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Формуванню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компетентності школярів приділяє значну увагу, здійснює його систематично на всіх етапах освітнього процесу. Регулярно використовує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здоров’язбережувальні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технології під час навчальних занять. Намагається залучати усіх учасників освітнього процесу до позакласної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діяльності. Активно бере участь у масових заходах з популяризації здорового </w:t>
            </w: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способу життя.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10" w:right="35" w:firstLine="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Активно цікавиться освітніми інноваціями, значну увагу приділяє самоосвіті та підвищенню кваліфікації у цьому напрямку. Використовує інноваційні технології на всіх етапах освітнього процесу. Ефективно впроваджує педагогічні інновації в освітній процес. Власну педагогічну діяльність моделює на основі освітніх інновацій.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-68" w:right="8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Активно цікавиться як зарубіжними, так і вітчизняними досягненнями дослідно-експериментальної роботи в галузі освіти. Творчо використовує їх для організації власної дослідно-експериментальної роботи, </w:t>
            </w: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майстерно володіючи відповідними педагогічними технологіями. Творчо перетворює освітнє середовище шляхом реалізації дослідно-експериментальної роботи.</w:t>
            </w:r>
          </w:p>
        </w:tc>
      </w:tr>
      <w:tr w:rsidR="005D60BA" w:rsidRPr="005D60BA" w:rsidTr="005D60BA">
        <w:tc>
          <w:tcPr>
            <w:tcW w:w="91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Середній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Формування екологічної компетентності школярів здійснює епізодично. Цікавиться екологічними масовими заходами та зрідка бере у них участь. Час від часу залучає учнів до позакласної екологічної діяльності. Іноді організовує дослідження екологічного спрямування.   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Формування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компетентності школярів здійснює епізодично. Час від часу використовує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здоров’я-збережувальні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технології під час навчальних занять. Несистематично залучає школярів до позакласної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діяльності. Іноді бере участь у масових заходах з популяризації здорового способу життя.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10" w:hanging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Цікавиться освітніми інноваціями, проте витрачати час на  самоосвіту та підвищення кваліфікації за цим напрямком не готовий. Час від часу використовує інноваційні технології в освітньому процесі. Намагається впроваджувати педагогічні інновації в освітній процес. Готується моделювати власну педагогічну діяльність на основі освітніх інновацій.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right="8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Цікавиться досягненнями дослідно-експериментальної роботи в галузі освіти. Впроваджує педагогічні напрацювання дослідно-експериментальної роботи в освітній процес, опановуючи відповідні педагогічні технології. Якісно змінює освітнє середовище таким чином.</w:t>
            </w:r>
          </w:p>
        </w:tc>
      </w:tr>
      <w:tr w:rsidR="005D60BA" w:rsidRPr="005D60BA" w:rsidTr="005D60BA">
        <w:tc>
          <w:tcPr>
            <w:tcW w:w="919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5D60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Низький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firstLine="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Формуванню екологічної компетентності школярів приділяє мало уваги. Не цікавиться екологічними масовими заходами та не бере у них участі. Зрідка залучає учнів до позакласної екологічної навчальної діяльності. Не організовує дослідження екологічного спрямування.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Формуванню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компетентності школярів приділяє мало уваги. Не використовує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здоров’я-збережувальні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технології під час навчальних занять. Зрідка залучає школярів до позакласної </w:t>
            </w:r>
            <w:proofErr w:type="spellStart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здоров’я-збережувальної</w:t>
            </w:r>
            <w:proofErr w:type="spellEnd"/>
            <w:r w:rsidRPr="005D60BA">
              <w:rPr>
                <w:rFonts w:ascii="Times New Roman" w:hAnsi="Times New Roman" w:cs="Times New Roman"/>
                <w:sz w:val="16"/>
                <w:szCs w:val="16"/>
              </w:rPr>
              <w:t xml:space="preserve"> діяльності. Не бере участі у масових заходах з популяризації здорового способу життя.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Не цікавиться освітніми інноваціями. Використовує освітні інноваційні технології тільки за необхідності. Не має стійкої мотивації щодо впровадження педагогічних інновацій в освітній процес. Під час моделювання власної педагогічної діяльності не враховують освітні інновації.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D60BA" w:rsidRPr="005D60BA" w:rsidRDefault="005D60BA" w:rsidP="00C46385">
            <w:pPr>
              <w:spacing w:after="0"/>
              <w:ind w:left="74" w:right="6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0BA">
              <w:rPr>
                <w:rFonts w:ascii="Times New Roman" w:hAnsi="Times New Roman" w:cs="Times New Roman"/>
                <w:sz w:val="16"/>
                <w:szCs w:val="16"/>
              </w:rPr>
              <w:t>Не цікавиться дослідно-експериментальною роботою в галузі освіти. Не має стійкої мотивації щодо використання наявних педагогічних досягнень дослідно-експериментальної роботи оскільки не достатньо володіє відповідними педагогічними технологіями. Не впливає на якісні зміни освітнього середовища.</w:t>
            </w:r>
          </w:p>
        </w:tc>
      </w:tr>
    </w:tbl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У процесі роботи над науково-методичною темою «Діагностування ефективності інноваційного розвитку закладів освіти Тернопільської області та готовності педагогічних працівників до здійснення такої діяльності» рекомендуємо опрацювати такі науково-методичні джерела: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навчального процесу при викладанні технічних дисциплін //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Тромсюк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В. Д. – ІТТА.INFO. – 25.11.2021 р. – Режим доступу: </w:t>
      </w:r>
      <w:hyperlink r:id="rId5" w:history="1"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https://itta.info/ekologizaciya-navchalnogo-procesu-pri-vikladanni-texnichnix-disciplin-2/</w:t>
        </w:r>
      </w:hyperlink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освітнього простору сучасної загальноосвітньої школи : монографія / Н.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Пустовіт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Колонькова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Пруцакова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, Г. Тарасюк, Ю.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Солобай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. – Харків: «Друкарня Мадрид», 2016. – 154 с. – Режим доступу: </w:t>
      </w:r>
      <w:hyperlink r:id="rId6" w:history="1"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http://dea.edu.ua/img/source/Doc/book%2010.01.17%202.pdf</w:t>
        </w:r>
      </w:hyperlink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 3. Кабан Л. В. Оцінювання інноваційної діяльності загальноосвітніх навчальних закладів регіону. – Режим доступу: </w:t>
      </w:r>
      <w:hyperlink r:id="rId7" w:history="1"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https://www.narodnaosvita.kiev.ua/Narodna_osvita/vupysku/1/statti/2kaban/2kaban.htm</w:t>
        </w:r>
      </w:hyperlink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О. А. Педагогічний досвід: моніторинг та перспективи: Посібник / О. А.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. – Інститут педагогічної освіти і освіти дорослих НАПН України, 2018. – 256 с.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>5. Методологічні проблеми кількісного та якісного аналізу в педагогічних дослідженнях/ Ч. Левицький // PROFESSIONAL EDUCATION: METHODOLOGY, THEORY AND TECHNOLOGIES.  – 2015. – №2    –  335 с. – Режим доступу: </w:t>
      </w:r>
      <w:hyperlink r:id="rId8" w:history="1"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file:///C:/Users/1/Downloads/98-Article%20Text-188-1-10-20190113.pdf</w:t>
        </w:r>
      </w:hyperlink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Набок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М. В. Деякі аспекти експертизи освітніх інновацій в інститутах післядипломної педагогічної освіти // Матеріали Всеукраїнської науково-практичної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«Науково-методичне забезпечення експертизи освітніх інновацій в регіонах»: – Режим доступу: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proofErr w:type="spellEnd"/>
        <w:r w:rsidRPr="005D60BA">
          <w:rPr>
            <w:rStyle w:val="a3"/>
            <w:rFonts w:ascii="Times New Roman" w:hAnsi="Times New Roman" w:cs="Times New Roman"/>
            <w:sz w:val="28"/>
            <w:szCs w:val="28"/>
          </w:rPr>
          <w:t>p://www.cippe.edu-ua.net/forum2</w:t>
        </w:r>
      </w:hyperlink>
      <w:r w:rsidRPr="005D60BA">
        <w:rPr>
          <w:rFonts w:ascii="Times New Roman" w:hAnsi="Times New Roman" w:cs="Times New Roman"/>
          <w:sz w:val="28"/>
          <w:szCs w:val="28"/>
        </w:rPr>
        <w:t>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BA">
        <w:rPr>
          <w:rFonts w:ascii="Times New Roman" w:hAnsi="Times New Roman" w:cs="Times New Roman"/>
          <w:sz w:val="28"/>
          <w:szCs w:val="28"/>
        </w:rPr>
        <w:t xml:space="preserve">Автори: Людмила Кучер, методист, в. о. завідувача лабораторії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SТЕМ-освіти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 xml:space="preserve"> ТОКІППО, Зоряна </w:t>
      </w:r>
      <w:proofErr w:type="spellStart"/>
      <w:r w:rsidRPr="005D60BA">
        <w:rPr>
          <w:rFonts w:ascii="Times New Roman" w:hAnsi="Times New Roman" w:cs="Times New Roman"/>
          <w:sz w:val="28"/>
          <w:szCs w:val="28"/>
        </w:rPr>
        <w:t>Миколів</w:t>
      </w:r>
      <w:proofErr w:type="spellEnd"/>
      <w:r w:rsidRPr="005D60BA">
        <w:rPr>
          <w:rFonts w:ascii="Times New Roman" w:hAnsi="Times New Roman" w:cs="Times New Roman"/>
          <w:sz w:val="28"/>
          <w:szCs w:val="28"/>
        </w:rPr>
        <w:t>, методист лабораторії STEM-освіти ТОКІППО.</w:t>
      </w:r>
    </w:p>
    <w:p w:rsidR="005D60BA" w:rsidRPr="005D60BA" w:rsidRDefault="005D60BA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5A0" w:rsidRPr="005D60BA" w:rsidRDefault="00CA75A0" w:rsidP="005D60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75A0" w:rsidRPr="005D60BA" w:rsidSect="005D60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A"/>
    <w:rsid w:val="005D60BA"/>
    <w:rsid w:val="00C46385"/>
    <w:rsid w:val="00C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abnauka.wordpress.com/Users/1/Downloads/98-Article%20Text-188-1-10-201901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rodnaosvita.kiev.ua/Narodna_osvita/vupysku/1/statti/2kaban/2kaban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a.edu.ua/img/source/Doc/book%2010.01.17%20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ta.info/ekologizaciya-navchalnogo-procesu-pri-vikladanni-texnichnix-disciplin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ppe.edu-ua.net/foru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8908</Words>
  <Characters>5078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2022-09-26T07:34:00Z</dcterms:created>
  <dcterms:modified xsi:type="dcterms:W3CDTF">2022-09-26T07:49:00Z</dcterms:modified>
</cp:coreProperties>
</file>