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цим на пари або групи. Це дає змогу перевірити на скільки діти засвоїли отриманні знання і як деякі з них можуть спілкуватися при роботі один з одним.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Вважаю, що при проведенні занять негативним у викладанні матеріалу є монотонність, сухість, формалізм. І тому постійно шукаю такі методи та форми роботи, які б викликали у дітей живий інтерес до виконання завдання, до творчої праці. Процес навчання дітей на заняттях хореографією має відбуватися на фоні позитивного емоційного настрою в психологічно комфортних для дітей умовах.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Особливу увагу звертаю на характер і якість музичного оформлення заняття. Підбір матеріалу здійснюю разом з концертмейстером, якому необхідно пояснити побудову заняття в цілому, а також в кожній з його окремих частин, вказати на потрібний розмір, ритмічну структуру та темп композицій. Рухи повинні випливати з музики, узгоджуватися з нею, відображаючи не тільки її загальний характер, але і конкретні засоби виразності. У поєднанні образного слова, музики і руху розвивається дитяча уява, дитина точніше передає характер музичного твору, рухи стають вільними, зникає скутість, з’являється впевненість. Ще однією характеристикою танцю, значення якої настільки ж велике при навчанні дітей, як і попередніх, є- малюнок танцю, що не існує сам по собі, він співвідноситься з лексикою хореографічного твору.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Музичний супровід повинен бути в усіх відношеннях простим в сприйнятті для вихованців, разом з тим підкреслювати характер та манеру рухів і комбінацій.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2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Суттєве місце у вивченні танцю посідають ритмічні вправи. Навчаю відрізняти найпростіші ритмічні малюнки за допомогою різноманітних оплесків. Вчу дітей своєчасно починати і закінчувати рухи відповідно до змісту, характеру, швидкості, ритмічної побудови музики. Вправи будуються на природних рухах і дозволяють відпрацьовувати основні навички - ходіння, біг, стрибки.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20"/>
      </w:pPr>
      <w:r>
        <w:rPr>
          <w:lang w:val="uk-UA" w:eastAsia="uk-UA" w:bidi="uk-UA"/>
          <w:w w:val="100"/>
          <w:spacing w:val="0"/>
          <w:color w:val="000000"/>
          <w:position w:val="0"/>
        </w:rPr>
        <w:t>У процесі занять з молодшими вихованцями використовую таку форму роботи, як розповідь. Дітям пропоную скласти невеличкі етюди на задану або ними обрану тему. Вони фантазують охоче і сміливо, і на наступному занятті показ таких сюжетів є одним із найцікавіших моментів заняття. Також пропоную дітям ігрові завдання, які вони повинні виконувати відразу. Наприклад, підібравши цікаву образну музику, пропонувати дітям її прослухати, а потім зобразити те, що вони почули в цій музиці. Всі завдання підбираю для дітей так, щоб вони сприяли виробленню стрункої постави, танцювальної координації, легкості й граційності рухів, засвоєнню танцювальних поз, положень, кружлянь, фігур, набуттю навичок орієнтації у просторі. Такі завдання також сприяють фізичному зміцненню дітей.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6989" w:h="10555"/>
      <w:pgMar w:top="264" w:left="182" w:right="163" w:bottom="26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9.45pt;margin-top:514.3pt;width:9.6pt;height:5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161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7">
    <w:name w:val="Header or footer"/>
    <w:basedOn w:val="CharStyle6"/>
    <w:rPr>
      <w:lang w:val="uk-UA" w:eastAsia="uk-UA" w:bidi="uk-UA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ocr_1ab6f35dbf10b470bff0158f5ee477ae</dc:title>
  <dc:subject/>
  <dc:creator/>
  <cp:keywords/>
</cp:coreProperties>
</file>