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1B" w:rsidRDefault="0058051B" w:rsidP="0058051B">
      <w:pPr>
        <w:spacing w:after="0"/>
        <w:jc w:val="both"/>
        <w:rPr>
          <w:rFonts w:ascii="Times New Roman" w:hAnsi="Times New Roman" w:cs="Times New Roman"/>
          <w:b/>
          <w:sz w:val="28"/>
          <w:szCs w:val="28"/>
        </w:rPr>
      </w:pPr>
      <w:r w:rsidRPr="009A648C">
        <w:rPr>
          <w:rFonts w:ascii="Times New Roman" w:hAnsi="Times New Roman" w:cs="Times New Roman"/>
          <w:b/>
          <w:sz w:val="28"/>
          <w:szCs w:val="28"/>
        </w:rPr>
        <w:t>Вплив державної підсумкової атестації у формі ЗНО на кількість випускників закладів загальної середньої освіти, нагороджених золотими та срібними медалями у 2018 році</w:t>
      </w:r>
    </w:p>
    <w:p w:rsidR="00897B00" w:rsidRDefault="00897B00" w:rsidP="0058051B">
      <w:pPr>
        <w:spacing w:after="0"/>
        <w:jc w:val="both"/>
        <w:rPr>
          <w:rFonts w:ascii="Times New Roman" w:hAnsi="Times New Roman" w:cs="Times New Roman"/>
          <w:b/>
          <w:sz w:val="28"/>
          <w:szCs w:val="28"/>
        </w:rPr>
      </w:pPr>
    </w:p>
    <w:p w:rsidR="0058051B" w:rsidRPr="004142AB" w:rsidRDefault="0058051B" w:rsidP="0058051B">
      <w:pPr>
        <w:spacing w:after="0"/>
        <w:ind w:firstLine="540"/>
        <w:jc w:val="both"/>
        <w:rPr>
          <w:rFonts w:ascii="Times New Roman" w:hAnsi="Times New Roman" w:cs="Times New Roman"/>
          <w:sz w:val="24"/>
          <w:szCs w:val="24"/>
        </w:rPr>
      </w:pPr>
      <w:r w:rsidRPr="004142AB">
        <w:rPr>
          <w:rFonts w:ascii="Times New Roman" w:hAnsi="Times New Roman" w:cs="Times New Roman"/>
          <w:sz w:val="24"/>
          <w:szCs w:val="24"/>
        </w:rPr>
        <w:t>У 2018 році в Тернопільській області на нагородження золотими медалями «За високі досягнення у навчанні» та срібними медалями «За досягнення у навчанні» претендувало 669 випускників  закладів загальної середньої освіти (з них, 541 – на золоті медалі,  128 – на срібні медалі). Це становить 15,2%</w:t>
      </w:r>
      <w:r w:rsidRPr="004142AB">
        <w:rPr>
          <w:rFonts w:ascii="Times New Roman" w:hAnsi="Times New Roman" w:cs="Times New Roman"/>
          <w:color w:val="FF0000"/>
          <w:sz w:val="24"/>
          <w:szCs w:val="24"/>
        </w:rPr>
        <w:t xml:space="preserve"> </w:t>
      </w:r>
      <w:r w:rsidRPr="004142AB">
        <w:rPr>
          <w:rFonts w:ascii="Times New Roman" w:hAnsi="Times New Roman" w:cs="Times New Roman"/>
          <w:sz w:val="24"/>
          <w:szCs w:val="24"/>
        </w:rPr>
        <w:t xml:space="preserve">від загальної кількості випускників ЗЗСО області. </w:t>
      </w:r>
    </w:p>
    <w:p w:rsidR="0058051B" w:rsidRPr="004142AB" w:rsidRDefault="0058051B" w:rsidP="0058051B">
      <w:pPr>
        <w:spacing w:after="0"/>
        <w:ind w:firstLine="540"/>
        <w:jc w:val="both"/>
        <w:rPr>
          <w:rFonts w:ascii="Times New Roman" w:hAnsi="Times New Roman" w:cs="Times New Roman"/>
          <w:sz w:val="24"/>
          <w:szCs w:val="24"/>
        </w:rPr>
      </w:pPr>
      <w:r w:rsidRPr="004142AB">
        <w:rPr>
          <w:rFonts w:ascii="Times New Roman" w:hAnsi="Times New Roman" w:cs="Times New Roman"/>
          <w:sz w:val="24"/>
          <w:szCs w:val="24"/>
        </w:rPr>
        <w:t>За результатами державної підсумкової атестації у формі ЗНО золотими та срібними медалями були нагороджені 396 випускників закладів загальної середньої освіти . Це становить 9% від загальної кількості випускників ЗЗСО області.</w:t>
      </w:r>
    </w:p>
    <w:p w:rsidR="0058051B" w:rsidRPr="004142AB" w:rsidRDefault="0058051B" w:rsidP="0058051B">
      <w:pPr>
        <w:spacing w:after="0"/>
        <w:ind w:firstLine="540"/>
        <w:jc w:val="both"/>
        <w:rPr>
          <w:rFonts w:ascii="Times New Roman" w:hAnsi="Times New Roman" w:cs="Times New Roman"/>
          <w:sz w:val="24"/>
          <w:szCs w:val="24"/>
        </w:rPr>
      </w:pPr>
      <w:r w:rsidRPr="004142AB">
        <w:rPr>
          <w:rFonts w:ascii="Times New Roman" w:hAnsi="Times New Roman" w:cs="Times New Roman"/>
          <w:sz w:val="24"/>
          <w:szCs w:val="24"/>
        </w:rPr>
        <w:t xml:space="preserve">Золоті медалі підтвердили 255 випускників із числа претендентів (47,1%). 99 «золотих» претендентів отримали срібні медалі (18,3%). </w:t>
      </w:r>
    </w:p>
    <w:p w:rsidR="0058051B" w:rsidRPr="00897B00" w:rsidRDefault="0058051B" w:rsidP="0058051B">
      <w:pPr>
        <w:spacing w:after="0"/>
        <w:ind w:firstLine="540"/>
        <w:jc w:val="both"/>
        <w:rPr>
          <w:rFonts w:ascii="Times New Roman" w:hAnsi="Times New Roman" w:cs="Times New Roman"/>
          <w:sz w:val="24"/>
          <w:szCs w:val="24"/>
          <w:lang w:val="ru-RU"/>
        </w:rPr>
      </w:pPr>
      <w:r w:rsidRPr="004142AB">
        <w:rPr>
          <w:rFonts w:ascii="Times New Roman" w:hAnsi="Times New Roman" w:cs="Times New Roman"/>
          <w:sz w:val="24"/>
          <w:szCs w:val="24"/>
        </w:rPr>
        <w:t>Із 128 претендентів на срібні медалі нагороди отримали 42 випускники (32,8%)</w:t>
      </w:r>
      <w:r>
        <w:rPr>
          <w:rFonts w:ascii="Times New Roman" w:hAnsi="Times New Roman" w:cs="Times New Roman"/>
          <w:sz w:val="24"/>
          <w:szCs w:val="24"/>
        </w:rPr>
        <w:t xml:space="preserve"> </w:t>
      </w:r>
      <w:r w:rsidR="00897B00">
        <w:rPr>
          <w:rFonts w:ascii="Times New Roman" w:hAnsi="Times New Roman" w:cs="Times New Roman"/>
          <w:sz w:val="24"/>
          <w:szCs w:val="24"/>
        </w:rPr>
        <w:t>.</w:t>
      </w:r>
    </w:p>
    <w:p w:rsidR="00897B00" w:rsidRPr="00897B00" w:rsidRDefault="00897B00" w:rsidP="0058051B">
      <w:pPr>
        <w:spacing w:after="0"/>
        <w:ind w:firstLine="540"/>
        <w:jc w:val="both"/>
        <w:rPr>
          <w:rFonts w:ascii="Times New Roman" w:hAnsi="Times New Roman" w:cs="Times New Roman"/>
          <w:sz w:val="24"/>
          <w:szCs w:val="24"/>
          <w:lang w:val="ru-RU"/>
        </w:rPr>
      </w:pPr>
    </w:p>
    <w:p w:rsidR="00897B00" w:rsidRPr="00897B00" w:rsidRDefault="00897B00" w:rsidP="0058051B">
      <w:pPr>
        <w:spacing w:after="0"/>
        <w:rPr>
          <w:rFonts w:ascii="Times New Roman" w:hAnsi="Times New Roman" w:cs="Times New Roman"/>
          <w:sz w:val="24"/>
          <w:szCs w:val="24"/>
          <w:lang w:val="ru-RU"/>
        </w:rPr>
      </w:pPr>
    </w:p>
    <w:p w:rsidR="0058051B" w:rsidRDefault="0058051B" w:rsidP="0058051B">
      <w:pPr>
        <w:spacing w:after="0"/>
        <w:rPr>
          <w:rFonts w:ascii="Times New Roman" w:hAnsi="Times New Roman" w:cs="Times New Roman"/>
          <w:sz w:val="24"/>
          <w:szCs w:val="24"/>
        </w:rPr>
      </w:pPr>
      <w:r w:rsidRPr="009A648C">
        <w:rPr>
          <w:rFonts w:ascii="Times New Roman" w:hAnsi="Times New Roman" w:cs="Times New Roman"/>
          <w:noProof/>
          <w:sz w:val="24"/>
          <w:szCs w:val="24"/>
          <w:lang w:eastAsia="uk-UA"/>
        </w:rPr>
        <w:drawing>
          <wp:inline distT="0" distB="0" distL="0" distR="0">
            <wp:extent cx="6120493" cy="3594413"/>
            <wp:effectExtent l="19050" t="0" r="13607" b="6037"/>
            <wp:docPr id="7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58051B" w:rsidRDefault="0058051B" w:rsidP="0058051B">
      <w:pPr>
        <w:spacing w:after="0"/>
        <w:rPr>
          <w:rFonts w:ascii="Times New Roman" w:hAnsi="Times New Roman" w:cs="Times New Roman"/>
          <w:sz w:val="24"/>
          <w:szCs w:val="24"/>
        </w:rPr>
      </w:pPr>
      <w:r>
        <w:rPr>
          <w:rFonts w:ascii="Times New Roman" w:hAnsi="Times New Roman" w:cs="Times New Roman"/>
          <w:sz w:val="24"/>
          <w:szCs w:val="24"/>
        </w:rPr>
        <w:br w:type="page"/>
      </w:r>
    </w:p>
    <w:p w:rsidR="0058051B" w:rsidRPr="008525F7" w:rsidRDefault="0058051B" w:rsidP="0058051B">
      <w:pPr>
        <w:spacing w:after="0"/>
        <w:jc w:val="center"/>
        <w:rPr>
          <w:rFonts w:ascii="Times New Roman" w:hAnsi="Times New Roman" w:cs="Times New Roman"/>
          <w:b/>
          <w:sz w:val="28"/>
          <w:szCs w:val="28"/>
        </w:rPr>
      </w:pPr>
      <w:r w:rsidRPr="008525F7">
        <w:rPr>
          <w:rFonts w:ascii="Times New Roman" w:hAnsi="Times New Roman" w:cs="Times New Roman"/>
          <w:b/>
          <w:sz w:val="28"/>
          <w:szCs w:val="28"/>
        </w:rPr>
        <w:lastRenderedPageBreak/>
        <w:t>Загальна кількість випускників – претендентів на нагородження та нагороджених золотими і срібними медалями у 2018 році (в розрізі район/місто обласного значення/об’єднана територіальна громада)</w:t>
      </w:r>
    </w:p>
    <w:p w:rsidR="0058051B" w:rsidRDefault="0058051B" w:rsidP="0058051B">
      <w:pPr>
        <w:spacing w:after="0" w:line="240" w:lineRule="auto"/>
        <w:jc w:val="center"/>
        <w:rPr>
          <w:rFonts w:ascii="Times New Roman" w:eastAsia="Times New Roman" w:hAnsi="Times New Roman" w:cs="Times New Roman"/>
          <w:b/>
          <w:bCs/>
          <w:sz w:val="24"/>
          <w:szCs w:val="24"/>
          <w:lang w:eastAsia="uk-UA"/>
        </w:rPr>
      </w:pPr>
    </w:p>
    <w:p w:rsidR="0058051B" w:rsidRDefault="0058051B" w:rsidP="0058051B">
      <w:pPr>
        <w:spacing w:after="0" w:line="240" w:lineRule="auto"/>
        <w:jc w:val="center"/>
        <w:rPr>
          <w:rFonts w:ascii="Times New Roman" w:eastAsia="Times New Roman" w:hAnsi="Times New Roman" w:cs="Times New Roman"/>
          <w:b/>
          <w:bCs/>
          <w:sz w:val="24"/>
          <w:szCs w:val="24"/>
          <w:lang w:eastAsia="uk-UA"/>
        </w:rPr>
        <w:sectPr w:rsidR="0058051B" w:rsidSect="00806FDC">
          <w:pgSz w:w="11906" w:h="16838"/>
          <w:pgMar w:top="850" w:right="850" w:bottom="850" w:left="1417" w:header="708" w:footer="708" w:gutter="0"/>
          <w:cols w:space="708"/>
          <w:docGrid w:linePitch="360"/>
        </w:sectPr>
      </w:pPr>
    </w:p>
    <w:tbl>
      <w:tblPr>
        <w:tblW w:w="4967" w:type="dxa"/>
        <w:tblInd w:w="103" w:type="dxa"/>
        <w:tblLook w:val="04A0"/>
      </w:tblPr>
      <w:tblGrid>
        <w:gridCol w:w="2557"/>
        <w:gridCol w:w="1134"/>
        <w:gridCol w:w="1276"/>
      </w:tblGrid>
      <w:tr w:rsidR="0058051B" w:rsidRPr="001044E5" w:rsidTr="007A24F5">
        <w:trPr>
          <w:trHeight w:val="31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jc w:val="center"/>
              <w:rPr>
                <w:rFonts w:ascii="Times New Roman" w:eastAsia="Times New Roman" w:hAnsi="Times New Roman" w:cs="Times New Roman"/>
                <w:b/>
                <w:bCs/>
                <w:sz w:val="24"/>
                <w:szCs w:val="24"/>
                <w:lang w:eastAsia="uk-UA"/>
              </w:rPr>
            </w:pPr>
            <w:r w:rsidRPr="001044E5">
              <w:rPr>
                <w:rFonts w:ascii="Times New Roman" w:eastAsia="Times New Roman" w:hAnsi="Times New Roman" w:cs="Times New Roman"/>
                <w:b/>
                <w:bCs/>
                <w:sz w:val="24"/>
                <w:szCs w:val="24"/>
                <w:lang w:eastAsia="uk-UA"/>
              </w:rPr>
              <w:lastRenderedPageBreak/>
              <w:t>Райони/міста/ОТГ</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b/>
                <w:bCs/>
                <w:sz w:val="24"/>
                <w:szCs w:val="24"/>
                <w:lang w:eastAsia="uk-UA"/>
              </w:rPr>
            </w:pPr>
            <w:r w:rsidRPr="001044E5">
              <w:rPr>
                <w:rFonts w:ascii="Times New Roman" w:eastAsia="Times New Roman" w:hAnsi="Times New Roman" w:cs="Times New Roman"/>
                <w:b/>
                <w:bCs/>
                <w:sz w:val="24"/>
                <w:szCs w:val="24"/>
                <w:lang w:eastAsia="uk-UA"/>
              </w:rPr>
              <w:t>до ЗНО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b/>
                <w:bCs/>
                <w:sz w:val="24"/>
                <w:szCs w:val="24"/>
                <w:lang w:eastAsia="uk-UA"/>
              </w:rPr>
            </w:pPr>
            <w:r w:rsidRPr="001044E5">
              <w:rPr>
                <w:rFonts w:ascii="Times New Roman" w:eastAsia="Times New Roman" w:hAnsi="Times New Roman" w:cs="Times New Roman"/>
                <w:b/>
                <w:bCs/>
                <w:sz w:val="24"/>
                <w:szCs w:val="24"/>
                <w:lang w:eastAsia="uk-UA"/>
              </w:rPr>
              <w:t>після ЗНО</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м.Тернопіль</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206</w:t>
            </w:r>
          </w:p>
        </w:tc>
        <w:tc>
          <w:tcPr>
            <w:tcW w:w="1276" w:type="dxa"/>
            <w:tcBorders>
              <w:top w:val="nil"/>
              <w:left w:val="nil"/>
              <w:bottom w:val="single" w:sz="4" w:space="0" w:color="auto"/>
              <w:right w:val="single" w:sz="4" w:space="0" w:color="auto"/>
            </w:tcBorders>
            <w:shd w:val="clear" w:color="auto" w:fill="auto"/>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156</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м.Бережани</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27</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20</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м.Кременець</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20</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9</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м.Чортків</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18</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13</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Бережанський район</w:t>
            </w:r>
          </w:p>
        </w:tc>
        <w:tc>
          <w:tcPr>
            <w:tcW w:w="1134" w:type="dxa"/>
            <w:tcBorders>
              <w:top w:val="nil"/>
              <w:left w:val="nil"/>
              <w:bottom w:val="single" w:sz="4" w:space="0" w:color="auto"/>
              <w:right w:val="single" w:sz="4" w:space="0" w:color="auto"/>
            </w:tcBorders>
            <w:shd w:val="clear" w:color="auto" w:fill="auto"/>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2</w:t>
            </w:r>
          </w:p>
        </w:tc>
        <w:tc>
          <w:tcPr>
            <w:tcW w:w="1276" w:type="dxa"/>
            <w:tcBorders>
              <w:top w:val="nil"/>
              <w:left w:val="nil"/>
              <w:bottom w:val="single" w:sz="4" w:space="0" w:color="auto"/>
              <w:right w:val="single" w:sz="4" w:space="0" w:color="auto"/>
            </w:tcBorders>
            <w:shd w:val="clear" w:color="auto" w:fill="auto"/>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2</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Саранчуківська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w:t>
            </w:r>
          </w:p>
        </w:tc>
        <w:tc>
          <w:tcPr>
            <w:tcW w:w="1276" w:type="dxa"/>
            <w:tcBorders>
              <w:top w:val="nil"/>
              <w:left w:val="nil"/>
              <w:bottom w:val="single" w:sz="4" w:space="0" w:color="auto"/>
              <w:right w:val="single" w:sz="4" w:space="0" w:color="auto"/>
            </w:tcBorders>
            <w:shd w:val="clear" w:color="auto" w:fill="auto"/>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Борщівський район</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2</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Борщівська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20</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12</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Більче-Золотецька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Мельнице-Подільська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15</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3</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Озерянська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Скала-Подільська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4</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Бучацький район</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26</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18</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Трибухівська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4</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Золотопотіцька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2</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Гусятинський</w:t>
            </w:r>
            <w:proofErr w:type="spellEnd"/>
            <w:r w:rsidRPr="001044E5">
              <w:rPr>
                <w:rFonts w:ascii="Times New Roman" w:eastAsia="Times New Roman" w:hAnsi="Times New Roman" w:cs="Times New Roman"/>
                <w:sz w:val="24"/>
                <w:szCs w:val="24"/>
                <w:lang w:eastAsia="uk-UA"/>
              </w:rPr>
              <w:t xml:space="preserve"> район</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12</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8</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Гусятинська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4</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2</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Хоростківська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10</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5</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Гримайлівська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2</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Васильковецька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4</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Коцюбинецька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Заліщицький</w:t>
            </w:r>
            <w:proofErr w:type="spellEnd"/>
            <w:r w:rsidRPr="001044E5">
              <w:rPr>
                <w:rFonts w:ascii="Times New Roman" w:eastAsia="Times New Roman" w:hAnsi="Times New Roman" w:cs="Times New Roman"/>
                <w:sz w:val="24"/>
                <w:szCs w:val="24"/>
                <w:lang w:eastAsia="uk-UA"/>
              </w:rPr>
              <w:t xml:space="preserve"> район</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35</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19</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Збаразький район</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15</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9</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Вишнівецька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4</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2</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Колодненська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Черниховецька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Зборівська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8</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5</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Залозецька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2</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2</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Озернянська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Зборівський район</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Козівський</w:t>
            </w:r>
            <w:proofErr w:type="spellEnd"/>
            <w:r w:rsidRPr="001044E5">
              <w:rPr>
                <w:rFonts w:ascii="Times New Roman" w:eastAsia="Times New Roman" w:hAnsi="Times New Roman" w:cs="Times New Roman"/>
                <w:sz w:val="24"/>
                <w:szCs w:val="24"/>
                <w:lang w:eastAsia="uk-UA"/>
              </w:rPr>
              <w:t xml:space="preserve"> район</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31</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17</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Козлівська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Кременецький район</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27</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16</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Почаївська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10</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3</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Лопушненська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Лановецький</w:t>
            </w:r>
            <w:proofErr w:type="spellEnd"/>
            <w:r w:rsidRPr="001044E5">
              <w:rPr>
                <w:rFonts w:ascii="Times New Roman" w:eastAsia="Times New Roman" w:hAnsi="Times New Roman" w:cs="Times New Roman"/>
                <w:sz w:val="24"/>
                <w:szCs w:val="24"/>
                <w:lang w:eastAsia="uk-UA"/>
              </w:rPr>
              <w:t xml:space="preserve"> район</w:t>
            </w:r>
          </w:p>
        </w:tc>
        <w:tc>
          <w:tcPr>
            <w:tcW w:w="1134" w:type="dxa"/>
            <w:tcBorders>
              <w:top w:val="nil"/>
              <w:left w:val="nil"/>
              <w:bottom w:val="single" w:sz="4" w:space="0" w:color="auto"/>
              <w:right w:val="single" w:sz="4" w:space="0" w:color="auto"/>
            </w:tcBorders>
            <w:shd w:val="clear" w:color="auto" w:fill="auto"/>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3</w:t>
            </w:r>
          </w:p>
        </w:tc>
        <w:tc>
          <w:tcPr>
            <w:tcW w:w="1276" w:type="dxa"/>
            <w:tcBorders>
              <w:top w:val="nil"/>
              <w:left w:val="nil"/>
              <w:bottom w:val="single" w:sz="4" w:space="0" w:color="auto"/>
              <w:right w:val="single" w:sz="4" w:space="0" w:color="auto"/>
            </w:tcBorders>
            <w:shd w:val="clear" w:color="auto" w:fill="auto"/>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Лановецька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16</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7</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Борсуківська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lastRenderedPageBreak/>
              <w:t>Монастириський</w:t>
            </w:r>
            <w:proofErr w:type="spellEnd"/>
            <w:r w:rsidRPr="001044E5">
              <w:rPr>
                <w:rFonts w:ascii="Times New Roman" w:eastAsia="Times New Roman" w:hAnsi="Times New Roman" w:cs="Times New Roman"/>
                <w:sz w:val="24"/>
                <w:szCs w:val="24"/>
                <w:lang w:eastAsia="uk-UA"/>
              </w:rPr>
              <w:t xml:space="preserve"> район</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11</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5</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Коропецька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2</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Підволочиська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13</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4</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Скалатська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12</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7</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Новосільська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2</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Скориківська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Підволочиський</w:t>
            </w:r>
            <w:proofErr w:type="spellEnd"/>
            <w:r w:rsidRPr="001044E5">
              <w:rPr>
                <w:rFonts w:ascii="Times New Roman" w:eastAsia="Times New Roman" w:hAnsi="Times New Roman" w:cs="Times New Roman"/>
                <w:sz w:val="24"/>
                <w:szCs w:val="24"/>
                <w:lang w:eastAsia="uk-UA"/>
              </w:rPr>
              <w:t xml:space="preserve"> район</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2</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Підгаєцький</w:t>
            </w:r>
            <w:proofErr w:type="spellEnd"/>
            <w:r w:rsidRPr="001044E5">
              <w:rPr>
                <w:rFonts w:ascii="Times New Roman" w:eastAsia="Times New Roman" w:hAnsi="Times New Roman" w:cs="Times New Roman"/>
                <w:sz w:val="24"/>
                <w:szCs w:val="24"/>
                <w:lang w:eastAsia="uk-UA"/>
              </w:rPr>
              <w:t xml:space="preserve"> район</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18</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8</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Теребовлянська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13</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6</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Теребовлянський район</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13</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5</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Микулинецька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6</w:t>
            </w:r>
          </w:p>
        </w:tc>
        <w:tc>
          <w:tcPr>
            <w:tcW w:w="1276" w:type="dxa"/>
            <w:tcBorders>
              <w:top w:val="nil"/>
              <w:left w:val="nil"/>
              <w:bottom w:val="single" w:sz="4" w:space="0" w:color="auto"/>
              <w:right w:val="single" w:sz="4" w:space="0" w:color="auto"/>
            </w:tcBorders>
            <w:shd w:val="clear" w:color="auto" w:fill="auto"/>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2</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Золотниківська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w:t>
            </w:r>
          </w:p>
        </w:tc>
        <w:tc>
          <w:tcPr>
            <w:tcW w:w="1276" w:type="dxa"/>
            <w:tcBorders>
              <w:top w:val="nil"/>
              <w:left w:val="nil"/>
              <w:bottom w:val="single" w:sz="4" w:space="0" w:color="auto"/>
              <w:right w:val="single" w:sz="4" w:space="0" w:color="auto"/>
            </w:tcBorders>
            <w:shd w:val="clear" w:color="auto" w:fill="auto"/>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Іванівська ОТГ</w:t>
            </w:r>
          </w:p>
        </w:tc>
        <w:tc>
          <w:tcPr>
            <w:tcW w:w="1134" w:type="dxa"/>
            <w:tcBorders>
              <w:top w:val="nil"/>
              <w:left w:val="nil"/>
              <w:bottom w:val="single" w:sz="4" w:space="0" w:color="auto"/>
              <w:right w:val="single" w:sz="4" w:space="0" w:color="auto"/>
            </w:tcBorders>
            <w:shd w:val="clear" w:color="auto" w:fill="auto"/>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3</w:t>
            </w:r>
          </w:p>
        </w:tc>
        <w:tc>
          <w:tcPr>
            <w:tcW w:w="1276" w:type="dxa"/>
            <w:tcBorders>
              <w:top w:val="nil"/>
              <w:left w:val="nil"/>
              <w:bottom w:val="single" w:sz="4" w:space="0" w:color="auto"/>
              <w:right w:val="single" w:sz="4" w:space="0" w:color="auto"/>
            </w:tcBorders>
            <w:shd w:val="clear" w:color="auto" w:fill="auto"/>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Байковецька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Великогаївська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Тернопільський район</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12</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7</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Чортківський</w:t>
            </w:r>
            <w:proofErr w:type="spellEnd"/>
            <w:r w:rsidRPr="001044E5">
              <w:rPr>
                <w:rFonts w:ascii="Times New Roman" w:eastAsia="Times New Roman" w:hAnsi="Times New Roman" w:cs="Times New Roman"/>
                <w:sz w:val="24"/>
                <w:szCs w:val="24"/>
                <w:lang w:eastAsia="uk-UA"/>
              </w:rPr>
              <w:t xml:space="preserve"> район</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2</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Білобожницька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Заводська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Колиндянська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Шумська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14</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11</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Великодедеркальська</w:t>
            </w:r>
            <w:proofErr w:type="spellEnd"/>
            <w:r w:rsidRPr="001044E5">
              <w:rPr>
                <w:rFonts w:ascii="Times New Roman" w:eastAsia="Times New Roman" w:hAnsi="Times New Roman" w:cs="Times New Roman"/>
                <w:sz w:val="24"/>
                <w:szCs w:val="24"/>
                <w:lang w:eastAsia="uk-UA"/>
              </w:rPr>
              <w:t xml:space="preserve"> ОТГ</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0</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sz w:val="24"/>
                <w:szCs w:val="24"/>
                <w:lang w:eastAsia="uk-UA"/>
              </w:rPr>
            </w:pPr>
            <w:proofErr w:type="spellStart"/>
            <w:r w:rsidRPr="001044E5">
              <w:rPr>
                <w:rFonts w:ascii="Times New Roman" w:eastAsia="Times New Roman" w:hAnsi="Times New Roman" w:cs="Times New Roman"/>
                <w:sz w:val="24"/>
                <w:szCs w:val="24"/>
                <w:lang w:eastAsia="uk-UA"/>
              </w:rPr>
              <w:t>Шумський</w:t>
            </w:r>
            <w:proofErr w:type="spellEnd"/>
            <w:r w:rsidRPr="001044E5">
              <w:rPr>
                <w:rFonts w:ascii="Times New Roman" w:eastAsia="Times New Roman" w:hAnsi="Times New Roman" w:cs="Times New Roman"/>
                <w:sz w:val="24"/>
                <w:szCs w:val="24"/>
                <w:lang w:eastAsia="uk-UA"/>
              </w:rPr>
              <w:t xml:space="preserve"> район</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sz w:val="24"/>
                <w:szCs w:val="24"/>
                <w:lang w:eastAsia="uk-UA"/>
              </w:rPr>
            </w:pPr>
            <w:r w:rsidRPr="001044E5">
              <w:rPr>
                <w:rFonts w:ascii="Times New Roman" w:eastAsia="Times New Roman" w:hAnsi="Times New Roman" w:cs="Times New Roman"/>
                <w:sz w:val="24"/>
                <w:szCs w:val="24"/>
                <w:lang w:eastAsia="uk-UA"/>
              </w:rPr>
              <w:t>1</w:t>
            </w:r>
          </w:p>
        </w:tc>
      </w:tr>
      <w:tr w:rsidR="0058051B" w:rsidRPr="001044E5" w:rsidTr="007A24F5">
        <w:trPr>
          <w:trHeight w:val="31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58051B" w:rsidRPr="001044E5" w:rsidRDefault="0058051B" w:rsidP="007A24F5">
            <w:pPr>
              <w:spacing w:after="0" w:line="240" w:lineRule="auto"/>
              <w:rPr>
                <w:rFonts w:ascii="Times New Roman" w:eastAsia="Times New Roman" w:hAnsi="Times New Roman" w:cs="Times New Roman"/>
                <w:b/>
                <w:bCs/>
                <w:sz w:val="24"/>
                <w:szCs w:val="24"/>
                <w:lang w:eastAsia="uk-UA"/>
              </w:rPr>
            </w:pPr>
            <w:r w:rsidRPr="001044E5">
              <w:rPr>
                <w:rFonts w:ascii="Times New Roman" w:eastAsia="Times New Roman" w:hAnsi="Times New Roman" w:cs="Times New Roman"/>
                <w:b/>
                <w:bCs/>
                <w:sz w:val="24"/>
                <w:szCs w:val="24"/>
                <w:lang w:eastAsia="uk-UA"/>
              </w:rPr>
              <w:t>Всього</w:t>
            </w:r>
          </w:p>
        </w:tc>
        <w:tc>
          <w:tcPr>
            <w:tcW w:w="1134"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b/>
                <w:bCs/>
                <w:sz w:val="24"/>
                <w:szCs w:val="24"/>
                <w:lang w:eastAsia="uk-UA"/>
              </w:rPr>
            </w:pPr>
            <w:r w:rsidRPr="001044E5">
              <w:rPr>
                <w:rFonts w:ascii="Times New Roman" w:eastAsia="Times New Roman" w:hAnsi="Times New Roman" w:cs="Times New Roman"/>
                <w:b/>
                <w:bCs/>
                <w:sz w:val="24"/>
                <w:szCs w:val="24"/>
                <w:lang w:eastAsia="uk-UA"/>
              </w:rPr>
              <w:t>669</w:t>
            </w:r>
          </w:p>
        </w:tc>
        <w:tc>
          <w:tcPr>
            <w:tcW w:w="1276" w:type="dxa"/>
            <w:tcBorders>
              <w:top w:val="nil"/>
              <w:left w:val="nil"/>
              <w:bottom w:val="single" w:sz="4" w:space="0" w:color="auto"/>
              <w:right w:val="single" w:sz="4" w:space="0" w:color="auto"/>
            </w:tcBorders>
            <w:shd w:val="clear" w:color="auto" w:fill="auto"/>
            <w:noWrap/>
            <w:vAlign w:val="center"/>
            <w:hideMark/>
          </w:tcPr>
          <w:p w:rsidR="0058051B" w:rsidRPr="001044E5" w:rsidRDefault="0058051B" w:rsidP="007A24F5">
            <w:pPr>
              <w:spacing w:after="0" w:line="240" w:lineRule="auto"/>
              <w:jc w:val="center"/>
              <w:rPr>
                <w:rFonts w:ascii="Times New Roman" w:eastAsia="Times New Roman" w:hAnsi="Times New Roman" w:cs="Times New Roman"/>
                <w:b/>
                <w:bCs/>
                <w:sz w:val="24"/>
                <w:szCs w:val="24"/>
                <w:lang w:eastAsia="uk-UA"/>
              </w:rPr>
            </w:pPr>
            <w:r w:rsidRPr="001044E5">
              <w:rPr>
                <w:rFonts w:ascii="Times New Roman" w:eastAsia="Times New Roman" w:hAnsi="Times New Roman" w:cs="Times New Roman"/>
                <w:b/>
                <w:bCs/>
                <w:sz w:val="24"/>
                <w:szCs w:val="24"/>
                <w:lang w:eastAsia="uk-UA"/>
              </w:rPr>
              <w:t>396</w:t>
            </w:r>
          </w:p>
        </w:tc>
      </w:tr>
    </w:tbl>
    <w:p w:rsidR="0058051B" w:rsidRDefault="0058051B" w:rsidP="0058051B">
      <w:pPr>
        <w:spacing w:after="0" w:line="240" w:lineRule="auto"/>
        <w:jc w:val="center"/>
        <w:rPr>
          <w:rFonts w:ascii="Times New Roman" w:eastAsia="Times New Roman" w:hAnsi="Times New Roman" w:cs="Times New Roman"/>
          <w:b/>
          <w:bCs/>
          <w:sz w:val="24"/>
          <w:szCs w:val="24"/>
          <w:lang w:eastAsia="uk-UA"/>
        </w:rPr>
      </w:pPr>
    </w:p>
    <w:p w:rsidR="0058051B" w:rsidRDefault="0058051B" w:rsidP="0058051B">
      <w:pPr>
        <w:spacing w:after="0" w:line="240" w:lineRule="auto"/>
        <w:jc w:val="center"/>
        <w:rPr>
          <w:rFonts w:ascii="Times New Roman" w:eastAsia="Times New Roman" w:hAnsi="Times New Roman" w:cs="Times New Roman"/>
          <w:b/>
          <w:bCs/>
          <w:sz w:val="24"/>
          <w:szCs w:val="24"/>
          <w:lang w:eastAsia="uk-UA"/>
        </w:rPr>
      </w:pPr>
    </w:p>
    <w:p w:rsidR="0058051B" w:rsidRDefault="0058051B" w:rsidP="0058051B">
      <w:pPr>
        <w:spacing w:after="0" w:line="240" w:lineRule="auto"/>
        <w:jc w:val="center"/>
        <w:rPr>
          <w:rFonts w:ascii="Times New Roman" w:eastAsia="Times New Roman" w:hAnsi="Times New Roman" w:cs="Times New Roman"/>
          <w:b/>
          <w:bCs/>
          <w:sz w:val="24"/>
          <w:szCs w:val="24"/>
          <w:lang w:eastAsia="uk-UA"/>
        </w:rPr>
      </w:pPr>
    </w:p>
    <w:p w:rsidR="0058051B" w:rsidRDefault="0058051B" w:rsidP="0058051B">
      <w:pPr>
        <w:spacing w:after="0" w:line="240" w:lineRule="auto"/>
        <w:jc w:val="center"/>
        <w:rPr>
          <w:rFonts w:ascii="Times New Roman" w:eastAsia="Times New Roman" w:hAnsi="Times New Roman" w:cs="Times New Roman"/>
          <w:b/>
          <w:bCs/>
          <w:sz w:val="24"/>
          <w:szCs w:val="24"/>
          <w:lang w:eastAsia="uk-UA"/>
        </w:rPr>
      </w:pPr>
    </w:p>
    <w:p w:rsidR="0058051B" w:rsidRDefault="0058051B" w:rsidP="0058051B">
      <w:pPr>
        <w:spacing w:after="0" w:line="240" w:lineRule="auto"/>
        <w:jc w:val="center"/>
        <w:rPr>
          <w:rFonts w:ascii="Times New Roman" w:eastAsia="Times New Roman" w:hAnsi="Times New Roman" w:cs="Times New Roman"/>
          <w:b/>
          <w:bCs/>
          <w:sz w:val="24"/>
          <w:szCs w:val="24"/>
          <w:lang w:eastAsia="uk-UA"/>
        </w:rPr>
      </w:pPr>
    </w:p>
    <w:p w:rsidR="0058051B" w:rsidRDefault="0058051B" w:rsidP="0058051B">
      <w:pPr>
        <w:spacing w:after="0" w:line="240" w:lineRule="auto"/>
        <w:jc w:val="center"/>
        <w:rPr>
          <w:rFonts w:ascii="Times New Roman" w:eastAsia="Times New Roman" w:hAnsi="Times New Roman" w:cs="Times New Roman"/>
          <w:b/>
          <w:bCs/>
          <w:sz w:val="24"/>
          <w:szCs w:val="24"/>
          <w:lang w:eastAsia="uk-UA"/>
        </w:rPr>
      </w:pPr>
    </w:p>
    <w:p w:rsidR="0058051B" w:rsidRDefault="0058051B" w:rsidP="0058051B">
      <w:pPr>
        <w:spacing w:after="0" w:line="240" w:lineRule="auto"/>
        <w:jc w:val="center"/>
        <w:rPr>
          <w:rFonts w:ascii="Times New Roman" w:eastAsia="Times New Roman" w:hAnsi="Times New Roman" w:cs="Times New Roman"/>
          <w:b/>
          <w:bCs/>
          <w:sz w:val="24"/>
          <w:szCs w:val="24"/>
          <w:lang w:eastAsia="uk-UA"/>
        </w:rPr>
      </w:pPr>
    </w:p>
    <w:p w:rsidR="0058051B" w:rsidRDefault="0058051B" w:rsidP="0058051B">
      <w:pPr>
        <w:spacing w:after="0" w:line="240" w:lineRule="auto"/>
        <w:jc w:val="center"/>
        <w:rPr>
          <w:rFonts w:ascii="Times New Roman" w:eastAsia="Times New Roman" w:hAnsi="Times New Roman" w:cs="Times New Roman"/>
          <w:b/>
          <w:bCs/>
          <w:sz w:val="24"/>
          <w:szCs w:val="24"/>
          <w:lang w:eastAsia="uk-UA"/>
        </w:rPr>
      </w:pPr>
    </w:p>
    <w:p w:rsidR="0058051B" w:rsidRDefault="0058051B" w:rsidP="0058051B">
      <w:pPr>
        <w:spacing w:after="0" w:line="240" w:lineRule="auto"/>
        <w:jc w:val="center"/>
        <w:rPr>
          <w:rFonts w:ascii="Times New Roman" w:eastAsia="Times New Roman" w:hAnsi="Times New Roman" w:cs="Times New Roman"/>
          <w:b/>
          <w:bCs/>
          <w:sz w:val="24"/>
          <w:szCs w:val="24"/>
          <w:lang w:eastAsia="uk-UA"/>
        </w:rPr>
      </w:pPr>
    </w:p>
    <w:p w:rsidR="0058051B" w:rsidRDefault="0058051B" w:rsidP="0058051B">
      <w:pPr>
        <w:spacing w:after="0" w:line="240" w:lineRule="auto"/>
        <w:jc w:val="center"/>
        <w:rPr>
          <w:rFonts w:ascii="Times New Roman" w:eastAsia="Times New Roman" w:hAnsi="Times New Roman" w:cs="Times New Roman"/>
          <w:b/>
          <w:bCs/>
          <w:sz w:val="24"/>
          <w:szCs w:val="24"/>
          <w:lang w:eastAsia="uk-UA"/>
        </w:rPr>
      </w:pPr>
    </w:p>
    <w:p w:rsidR="0058051B" w:rsidRDefault="0058051B" w:rsidP="0058051B">
      <w:pPr>
        <w:spacing w:after="0" w:line="240" w:lineRule="auto"/>
        <w:jc w:val="center"/>
        <w:rPr>
          <w:rFonts w:ascii="Times New Roman" w:eastAsia="Times New Roman" w:hAnsi="Times New Roman" w:cs="Times New Roman"/>
          <w:b/>
          <w:bCs/>
          <w:sz w:val="24"/>
          <w:szCs w:val="24"/>
          <w:lang w:eastAsia="uk-UA"/>
        </w:rPr>
      </w:pPr>
    </w:p>
    <w:p w:rsidR="0058051B" w:rsidRDefault="0058051B" w:rsidP="0058051B">
      <w:pPr>
        <w:spacing w:after="0" w:line="240" w:lineRule="auto"/>
        <w:jc w:val="center"/>
        <w:rPr>
          <w:rFonts w:ascii="Times New Roman" w:eastAsia="Times New Roman" w:hAnsi="Times New Roman" w:cs="Times New Roman"/>
          <w:b/>
          <w:bCs/>
          <w:sz w:val="24"/>
          <w:szCs w:val="24"/>
          <w:lang w:eastAsia="uk-UA"/>
        </w:rPr>
      </w:pPr>
    </w:p>
    <w:p w:rsidR="0058051B" w:rsidRDefault="0058051B" w:rsidP="0058051B">
      <w:pPr>
        <w:spacing w:after="0" w:line="240" w:lineRule="auto"/>
        <w:jc w:val="center"/>
        <w:rPr>
          <w:rFonts w:ascii="Times New Roman" w:eastAsia="Times New Roman" w:hAnsi="Times New Roman" w:cs="Times New Roman"/>
          <w:b/>
          <w:bCs/>
          <w:sz w:val="24"/>
          <w:szCs w:val="24"/>
          <w:lang w:eastAsia="uk-UA"/>
        </w:rPr>
      </w:pPr>
    </w:p>
    <w:p w:rsidR="0058051B" w:rsidRDefault="0058051B" w:rsidP="0058051B">
      <w:pPr>
        <w:spacing w:after="0" w:line="240" w:lineRule="auto"/>
        <w:jc w:val="center"/>
        <w:rPr>
          <w:rFonts w:ascii="Times New Roman" w:eastAsia="Times New Roman" w:hAnsi="Times New Roman" w:cs="Times New Roman"/>
          <w:b/>
          <w:bCs/>
          <w:sz w:val="24"/>
          <w:szCs w:val="24"/>
          <w:lang w:eastAsia="uk-UA"/>
        </w:rPr>
      </w:pPr>
    </w:p>
    <w:p w:rsidR="0058051B" w:rsidRDefault="0058051B" w:rsidP="0058051B">
      <w:pPr>
        <w:spacing w:after="0" w:line="240" w:lineRule="auto"/>
        <w:jc w:val="center"/>
        <w:rPr>
          <w:rFonts w:ascii="Times New Roman" w:eastAsia="Times New Roman" w:hAnsi="Times New Roman" w:cs="Times New Roman"/>
          <w:b/>
          <w:bCs/>
          <w:sz w:val="24"/>
          <w:szCs w:val="24"/>
          <w:lang w:eastAsia="uk-UA"/>
        </w:rPr>
      </w:pPr>
    </w:p>
    <w:p w:rsidR="0058051B" w:rsidRDefault="0058051B" w:rsidP="0058051B">
      <w:pPr>
        <w:spacing w:after="0" w:line="240" w:lineRule="auto"/>
        <w:jc w:val="center"/>
        <w:rPr>
          <w:rFonts w:ascii="Times New Roman" w:eastAsia="Times New Roman" w:hAnsi="Times New Roman" w:cs="Times New Roman"/>
          <w:b/>
          <w:bCs/>
          <w:sz w:val="24"/>
          <w:szCs w:val="24"/>
          <w:lang w:eastAsia="uk-UA"/>
        </w:rPr>
      </w:pPr>
    </w:p>
    <w:p w:rsidR="0058051B" w:rsidRDefault="0058051B" w:rsidP="0058051B">
      <w:pPr>
        <w:spacing w:after="0" w:line="240" w:lineRule="auto"/>
        <w:jc w:val="center"/>
        <w:rPr>
          <w:rFonts w:ascii="Times New Roman" w:eastAsia="Times New Roman" w:hAnsi="Times New Roman" w:cs="Times New Roman"/>
          <w:b/>
          <w:bCs/>
          <w:sz w:val="24"/>
          <w:szCs w:val="24"/>
          <w:lang w:eastAsia="uk-UA"/>
        </w:rPr>
      </w:pPr>
    </w:p>
    <w:p w:rsidR="0058051B" w:rsidRDefault="0058051B" w:rsidP="0058051B">
      <w:pPr>
        <w:spacing w:after="0" w:line="240" w:lineRule="auto"/>
        <w:jc w:val="center"/>
        <w:rPr>
          <w:rFonts w:ascii="Times New Roman" w:eastAsia="Times New Roman" w:hAnsi="Times New Roman" w:cs="Times New Roman"/>
          <w:b/>
          <w:bCs/>
          <w:sz w:val="24"/>
          <w:szCs w:val="24"/>
          <w:lang w:eastAsia="uk-UA"/>
        </w:rPr>
      </w:pPr>
    </w:p>
    <w:p w:rsidR="0058051B" w:rsidRDefault="0058051B" w:rsidP="0058051B">
      <w:pPr>
        <w:spacing w:after="0" w:line="240" w:lineRule="auto"/>
        <w:jc w:val="center"/>
        <w:rPr>
          <w:rFonts w:ascii="Times New Roman" w:eastAsia="Times New Roman" w:hAnsi="Times New Roman" w:cs="Times New Roman"/>
          <w:b/>
          <w:bCs/>
          <w:sz w:val="24"/>
          <w:szCs w:val="24"/>
          <w:lang w:eastAsia="uk-UA"/>
        </w:rPr>
        <w:sectPr w:rsidR="0058051B" w:rsidSect="00806FDC">
          <w:type w:val="continuous"/>
          <w:pgSz w:w="11906" w:h="16838"/>
          <w:pgMar w:top="850" w:right="850" w:bottom="850" w:left="1417" w:header="708" w:footer="708" w:gutter="0"/>
          <w:cols w:num="2" w:space="708"/>
          <w:docGrid w:linePitch="360"/>
        </w:sectPr>
      </w:pPr>
    </w:p>
    <w:p w:rsidR="0058051B" w:rsidRPr="004142AB" w:rsidRDefault="0058051B" w:rsidP="0058051B">
      <w:pPr>
        <w:spacing w:after="0"/>
        <w:ind w:firstLine="567"/>
        <w:jc w:val="both"/>
        <w:rPr>
          <w:rFonts w:ascii="Times New Roman" w:hAnsi="Times New Roman" w:cs="Times New Roman"/>
          <w:sz w:val="24"/>
          <w:szCs w:val="24"/>
        </w:rPr>
      </w:pPr>
      <w:r w:rsidRPr="004142AB">
        <w:rPr>
          <w:rFonts w:ascii="Times New Roman" w:hAnsi="Times New Roman" w:cs="Times New Roman"/>
          <w:sz w:val="24"/>
          <w:szCs w:val="24"/>
        </w:rPr>
        <w:lastRenderedPageBreak/>
        <w:t xml:space="preserve">Регіональні дані щодо кількості претендентів на нагородження та нагороджених золотими та срібними медалями на діаграмі. Найбільша кількість претендентів на нагородження серед випускників м. Тернополя (206 осіб), Борщівського (41 особа), Кременецького (37 осіб), Теребовлянського (36 осіб), </w:t>
      </w:r>
      <w:proofErr w:type="spellStart"/>
      <w:r w:rsidRPr="004142AB">
        <w:rPr>
          <w:rFonts w:ascii="Times New Roman" w:hAnsi="Times New Roman" w:cs="Times New Roman"/>
          <w:sz w:val="24"/>
          <w:szCs w:val="24"/>
        </w:rPr>
        <w:t>Заліщицького</w:t>
      </w:r>
      <w:proofErr w:type="spellEnd"/>
      <w:r w:rsidRPr="004142AB">
        <w:rPr>
          <w:rFonts w:ascii="Times New Roman" w:hAnsi="Times New Roman" w:cs="Times New Roman"/>
          <w:sz w:val="24"/>
          <w:szCs w:val="24"/>
        </w:rPr>
        <w:t xml:space="preserve"> (35 осіб) районів. Найменше претендентів у Бережанському (2 особи), </w:t>
      </w:r>
      <w:proofErr w:type="spellStart"/>
      <w:r w:rsidRPr="004142AB">
        <w:rPr>
          <w:rFonts w:ascii="Times New Roman" w:hAnsi="Times New Roman" w:cs="Times New Roman"/>
          <w:sz w:val="24"/>
          <w:szCs w:val="24"/>
        </w:rPr>
        <w:t>Чортківському</w:t>
      </w:r>
      <w:proofErr w:type="spellEnd"/>
      <w:r w:rsidRPr="004142AB">
        <w:rPr>
          <w:rFonts w:ascii="Times New Roman" w:hAnsi="Times New Roman" w:cs="Times New Roman"/>
          <w:sz w:val="24"/>
          <w:szCs w:val="24"/>
        </w:rPr>
        <w:t xml:space="preserve"> (6 осіб), Зборівському (10 осіб) районах.</w:t>
      </w:r>
    </w:p>
    <w:p w:rsidR="00897B00" w:rsidRDefault="00897B00" w:rsidP="0058051B">
      <w:pPr>
        <w:spacing w:after="0"/>
        <w:rPr>
          <w:rFonts w:ascii="Times New Roman" w:eastAsia="Times New Roman" w:hAnsi="Times New Roman" w:cs="Times New Roman"/>
          <w:b/>
          <w:bCs/>
          <w:sz w:val="24"/>
          <w:szCs w:val="24"/>
          <w:lang w:val="en-US" w:eastAsia="uk-UA"/>
        </w:rPr>
      </w:pPr>
    </w:p>
    <w:p w:rsidR="0058051B" w:rsidRDefault="0058051B" w:rsidP="0058051B">
      <w:pPr>
        <w:spacing w:after="0"/>
        <w:rPr>
          <w:rFonts w:ascii="Times New Roman" w:eastAsia="Times New Roman" w:hAnsi="Times New Roman" w:cs="Times New Roman"/>
          <w:b/>
          <w:bCs/>
          <w:sz w:val="24"/>
          <w:szCs w:val="24"/>
          <w:lang w:eastAsia="uk-UA"/>
        </w:rPr>
      </w:pPr>
      <w:r w:rsidRPr="004B4D28">
        <w:rPr>
          <w:rFonts w:ascii="Times New Roman" w:eastAsia="Times New Roman" w:hAnsi="Times New Roman" w:cs="Times New Roman"/>
          <w:b/>
          <w:bCs/>
          <w:noProof/>
          <w:sz w:val="24"/>
          <w:szCs w:val="24"/>
          <w:lang w:eastAsia="uk-UA"/>
        </w:rPr>
        <w:drawing>
          <wp:inline distT="0" distB="0" distL="0" distR="0">
            <wp:extent cx="6133093" cy="7457090"/>
            <wp:effectExtent l="19050" t="0" r="20057" b="0"/>
            <wp:docPr id="7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ascii="Times New Roman" w:eastAsia="Times New Roman" w:hAnsi="Times New Roman" w:cs="Times New Roman"/>
          <w:b/>
          <w:bCs/>
          <w:sz w:val="24"/>
          <w:szCs w:val="24"/>
          <w:lang w:eastAsia="uk-UA"/>
        </w:rPr>
        <w:br w:type="page"/>
      </w:r>
    </w:p>
    <w:p w:rsidR="0058051B" w:rsidRDefault="0058051B" w:rsidP="0058051B">
      <w:pPr>
        <w:spacing w:after="0"/>
        <w:ind w:firstLine="540"/>
        <w:jc w:val="both"/>
        <w:rPr>
          <w:rFonts w:ascii="Times New Roman" w:hAnsi="Times New Roman" w:cs="Times New Roman"/>
          <w:sz w:val="24"/>
          <w:szCs w:val="24"/>
          <w:lang w:val="en-US"/>
        </w:rPr>
      </w:pPr>
      <w:r w:rsidRPr="004142AB">
        <w:rPr>
          <w:rFonts w:ascii="Times New Roman" w:hAnsi="Times New Roman" w:cs="Times New Roman"/>
          <w:sz w:val="24"/>
          <w:szCs w:val="24"/>
        </w:rPr>
        <w:lastRenderedPageBreak/>
        <w:t xml:space="preserve">Найбільший відсоток нагороджених із числа претендентів у Бережанському </w:t>
      </w:r>
      <w:r>
        <w:rPr>
          <w:rFonts w:ascii="Times New Roman" w:hAnsi="Times New Roman" w:cs="Times New Roman"/>
          <w:sz w:val="24"/>
          <w:szCs w:val="24"/>
        </w:rPr>
        <w:t>(2  </w:t>
      </w:r>
      <w:r w:rsidRPr="004142AB">
        <w:rPr>
          <w:rFonts w:ascii="Times New Roman" w:hAnsi="Times New Roman" w:cs="Times New Roman"/>
          <w:sz w:val="24"/>
          <w:szCs w:val="24"/>
        </w:rPr>
        <w:t xml:space="preserve">випускники – 100%), </w:t>
      </w:r>
      <w:proofErr w:type="spellStart"/>
      <w:r w:rsidRPr="004142AB">
        <w:rPr>
          <w:rFonts w:ascii="Times New Roman" w:hAnsi="Times New Roman" w:cs="Times New Roman"/>
          <w:sz w:val="24"/>
          <w:szCs w:val="24"/>
        </w:rPr>
        <w:t>Шумському</w:t>
      </w:r>
      <w:proofErr w:type="spellEnd"/>
      <w:r w:rsidRPr="004142AB">
        <w:rPr>
          <w:rFonts w:ascii="Times New Roman" w:hAnsi="Times New Roman" w:cs="Times New Roman"/>
          <w:sz w:val="24"/>
          <w:szCs w:val="24"/>
        </w:rPr>
        <w:t xml:space="preserve"> (80%) районах та містах Тернопіль (75,7%),</w:t>
      </w:r>
      <w:r>
        <w:rPr>
          <w:rFonts w:ascii="Times New Roman" w:hAnsi="Times New Roman" w:cs="Times New Roman"/>
          <w:sz w:val="24"/>
          <w:szCs w:val="24"/>
        </w:rPr>
        <w:t xml:space="preserve"> </w:t>
      </w:r>
      <w:r w:rsidRPr="004142AB">
        <w:rPr>
          <w:rFonts w:ascii="Times New Roman" w:hAnsi="Times New Roman" w:cs="Times New Roman"/>
          <w:sz w:val="24"/>
          <w:szCs w:val="24"/>
        </w:rPr>
        <w:t xml:space="preserve">Бережани (74,2%), Чортків (72,2%). Найменший відсоток – у </w:t>
      </w:r>
      <w:proofErr w:type="spellStart"/>
      <w:r w:rsidRPr="004142AB">
        <w:rPr>
          <w:rFonts w:ascii="Times New Roman" w:hAnsi="Times New Roman" w:cs="Times New Roman"/>
          <w:sz w:val="24"/>
          <w:szCs w:val="24"/>
        </w:rPr>
        <w:t>Чортківському</w:t>
      </w:r>
      <w:proofErr w:type="spellEnd"/>
      <w:r w:rsidRPr="004142AB">
        <w:rPr>
          <w:rFonts w:ascii="Times New Roman" w:hAnsi="Times New Roman" w:cs="Times New Roman"/>
          <w:sz w:val="24"/>
          <w:szCs w:val="24"/>
        </w:rPr>
        <w:t xml:space="preserve"> (33,3%), </w:t>
      </w:r>
      <w:proofErr w:type="spellStart"/>
      <w:r w:rsidRPr="004142AB">
        <w:rPr>
          <w:rFonts w:ascii="Times New Roman" w:hAnsi="Times New Roman" w:cs="Times New Roman"/>
          <w:sz w:val="24"/>
          <w:szCs w:val="24"/>
        </w:rPr>
        <w:t>Підволочиському</w:t>
      </w:r>
      <w:proofErr w:type="spellEnd"/>
      <w:r w:rsidRPr="004142AB">
        <w:rPr>
          <w:rFonts w:ascii="Times New Roman" w:hAnsi="Times New Roman" w:cs="Times New Roman"/>
          <w:sz w:val="24"/>
          <w:szCs w:val="24"/>
        </w:rPr>
        <w:t xml:space="preserve"> (34,4%) та Борщівському (36,6%) районах. В середньому  по області 59,2% випускників від загальної кількості претендентів на нагородження отримали золоті та срібні відзнаки </w:t>
      </w:r>
    </w:p>
    <w:p w:rsidR="00897B00" w:rsidRDefault="00897B00" w:rsidP="0058051B">
      <w:pPr>
        <w:spacing w:after="0"/>
        <w:ind w:firstLine="540"/>
        <w:jc w:val="both"/>
        <w:rPr>
          <w:rFonts w:ascii="Times New Roman" w:hAnsi="Times New Roman" w:cs="Times New Roman"/>
          <w:sz w:val="24"/>
          <w:szCs w:val="24"/>
          <w:lang w:val="en-US"/>
        </w:rPr>
      </w:pPr>
    </w:p>
    <w:p w:rsidR="00897B00" w:rsidRPr="00897B00" w:rsidRDefault="00897B00" w:rsidP="0058051B">
      <w:pPr>
        <w:spacing w:after="0"/>
        <w:ind w:firstLine="540"/>
        <w:jc w:val="both"/>
        <w:rPr>
          <w:rFonts w:ascii="Times New Roman" w:hAnsi="Times New Roman" w:cs="Times New Roman"/>
          <w:sz w:val="24"/>
          <w:szCs w:val="24"/>
          <w:lang w:val="en-US"/>
        </w:rPr>
      </w:pPr>
    </w:p>
    <w:p w:rsidR="0058051B" w:rsidRPr="003F3E90" w:rsidRDefault="0058051B" w:rsidP="0058051B">
      <w:pPr>
        <w:spacing w:after="0" w:line="240" w:lineRule="auto"/>
        <w:jc w:val="right"/>
        <w:rPr>
          <w:rFonts w:ascii="Times New Roman" w:eastAsia="Times New Roman" w:hAnsi="Times New Roman" w:cs="Times New Roman"/>
          <w:b/>
          <w:bCs/>
          <w:sz w:val="24"/>
          <w:szCs w:val="24"/>
          <w:lang w:val="en-US" w:eastAsia="uk-UA"/>
        </w:rPr>
        <w:sectPr w:rsidR="0058051B" w:rsidRPr="003F3E90" w:rsidSect="00806FDC">
          <w:type w:val="continuous"/>
          <w:pgSz w:w="11906" w:h="16838"/>
          <w:pgMar w:top="850" w:right="850" w:bottom="850" w:left="1417" w:header="708" w:footer="708" w:gutter="0"/>
          <w:cols w:space="708"/>
          <w:docGrid w:linePitch="360"/>
        </w:sectPr>
      </w:pPr>
      <w:r w:rsidRPr="00C81CA0">
        <w:rPr>
          <w:rFonts w:ascii="Times New Roman" w:eastAsia="Times New Roman" w:hAnsi="Times New Roman" w:cs="Times New Roman"/>
          <w:b/>
          <w:bCs/>
          <w:noProof/>
          <w:sz w:val="24"/>
          <w:szCs w:val="24"/>
          <w:lang w:eastAsia="uk-UA"/>
        </w:rPr>
        <w:drawing>
          <wp:inline distT="0" distB="0" distL="0" distR="0">
            <wp:extent cx="6114415" cy="7810500"/>
            <wp:effectExtent l="19050" t="0" r="19685" b="0"/>
            <wp:docPr id="7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8051B" w:rsidRPr="003F3E90" w:rsidRDefault="0058051B" w:rsidP="0058051B">
      <w:pPr>
        <w:spacing w:after="0"/>
        <w:jc w:val="both"/>
        <w:rPr>
          <w:rFonts w:ascii="Times New Roman" w:hAnsi="Times New Roman" w:cs="Times New Roman"/>
          <w:sz w:val="24"/>
          <w:szCs w:val="24"/>
          <w:lang w:val="en-US"/>
        </w:rPr>
      </w:pPr>
    </w:p>
    <w:p w:rsidR="0058051B" w:rsidRPr="004142AB" w:rsidRDefault="0058051B" w:rsidP="0058051B">
      <w:pPr>
        <w:spacing w:after="0"/>
        <w:ind w:firstLine="567"/>
        <w:jc w:val="both"/>
        <w:rPr>
          <w:rFonts w:ascii="Times New Roman" w:hAnsi="Times New Roman" w:cs="Times New Roman"/>
          <w:sz w:val="24"/>
          <w:szCs w:val="24"/>
        </w:rPr>
      </w:pPr>
      <w:r w:rsidRPr="004142AB">
        <w:rPr>
          <w:rFonts w:ascii="Times New Roman" w:hAnsi="Times New Roman" w:cs="Times New Roman"/>
          <w:sz w:val="24"/>
          <w:szCs w:val="24"/>
        </w:rPr>
        <w:t xml:space="preserve">В середньому 9% від загальної кількості випускників закладів системи загальної середньої освіти області у 2018 році були нагороджені золотими та срібними медалями. Найбільше частка нагороджених у містах Бережани (20,4%), Кременець (14,3%), Тернопіль (13,6%). Найнижчі показники серед випускників </w:t>
      </w:r>
      <w:proofErr w:type="spellStart"/>
      <w:r w:rsidRPr="004142AB">
        <w:rPr>
          <w:rFonts w:ascii="Times New Roman" w:hAnsi="Times New Roman" w:cs="Times New Roman"/>
          <w:sz w:val="24"/>
          <w:szCs w:val="24"/>
        </w:rPr>
        <w:t>Чортківського</w:t>
      </w:r>
      <w:proofErr w:type="spellEnd"/>
      <w:r w:rsidRPr="004142AB">
        <w:rPr>
          <w:rFonts w:ascii="Times New Roman" w:hAnsi="Times New Roman" w:cs="Times New Roman"/>
          <w:sz w:val="24"/>
          <w:szCs w:val="24"/>
        </w:rPr>
        <w:t xml:space="preserve"> (2,2%), </w:t>
      </w:r>
      <w:proofErr w:type="spellStart"/>
      <w:r w:rsidRPr="004142AB">
        <w:rPr>
          <w:rFonts w:ascii="Times New Roman" w:hAnsi="Times New Roman" w:cs="Times New Roman"/>
          <w:sz w:val="24"/>
          <w:szCs w:val="24"/>
        </w:rPr>
        <w:t>Монастириського</w:t>
      </w:r>
      <w:proofErr w:type="spellEnd"/>
      <w:r w:rsidRPr="004142AB">
        <w:rPr>
          <w:rFonts w:ascii="Times New Roman" w:hAnsi="Times New Roman" w:cs="Times New Roman"/>
          <w:sz w:val="24"/>
          <w:szCs w:val="24"/>
        </w:rPr>
        <w:t xml:space="preserve"> (3,6%), Бережанського (3,9%) районів</w:t>
      </w:r>
      <w:r w:rsidR="00897B00">
        <w:rPr>
          <w:rFonts w:ascii="Times New Roman" w:hAnsi="Times New Roman" w:cs="Times New Roman"/>
          <w:sz w:val="24"/>
          <w:szCs w:val="24"/>
        </w:rPr>
        <w:t>.</w:t>
      </w:r>
    </w:p>
    <w:p w:rsidR="0058051B" w:rsidRPr="00A75FB6" w:rsidRDefault="0058051B" w:rsidP="0058051B">
      <w:pPr>
        <w:spacing w:after="0"/>
        <w:ind w:firstLine="567"/>
        <w:jc w:val="right"/>
        <w:rPr>
          <w:rFonts w:ascii="Times New Roman" w:hAnsi="Times New Roman" w:cs="Times New Roman"/>
          <w:sz w:val="24"/>
          <w:szCs w:val="24"/>
        </w:rPr>
      </w:pPr>
    </w:p>
    <w:p w:rsidR="0058051B" w:rsidRDefault="0058051B" w:rsidP="0058051B">
      <w:pPr>
        <w:spacing w:after="0"/>
        <w:rPr>
          <w:rFonts w:ascii="Times New Roman" w:hAnsi="Times New Roman" w:cs="Times New Roman"/>
          <w:sz w:val="24"/>
          <w:szCs w:val="24"/>
        </w:rPr>
      </w:pPr>
      <w:r w:rsidRPr="00676956">
        <w:rPr>
          <w:rFonts w:ascii="Times New Roman" w:hAnsi="Times New Roman" w:cs="Times New Roman"/>
          <w:noProof/>
          <w:sz w:val="24"/>
          <w:szCs w:val="24"/>
          <w:lang w:eastAsia="uk-UA"/>
        </w:rPr>
        <w:drawing>
          <wp:inline distT="0" distB="0" distL="0" distR="0">
            <wp:extent cx="6120765" cy="3257550"/>
            <wp:effectExtent l="19050" t="0" r="13335" b="0"/>
            <wp:docPr id="7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8051B" w:rsidRDefault="0058051B" w:rsidP="0058051B">
      <w:pPr>
        <w:spacing w:after="0"/>
        <w:ind w:firstLine="567"/>
        <w:jc w:val="both"/>
        <w:rPr>
          <w:rFonts w:ascii="Times New Roman" w:hAnsi="Times New Roman" w:cs="Times New Roman"/>
          <w:sz w:val="24"/>
          <w:szCs w:val="24"/>
        </w:rPr>
      </w:pPr>
    </w:p>
    <w:p w:rsidR="0058051B" w:rsidRPr="00532CEF" w:rsidRDefault="0058051B" w:rsidP="0058051B">
      <w:pPr>
        <w:spacing w:after="0"/>
        <w:ind w:firstLine="567"/>
        <w:jc w:val="both"/>
        <w:rPr>
          <w:rFonts w:ascii="Times New Roman" w:hAnsi="Times New Roman" w:cs="Times New Roman"/>
          <w:sz w:val="24"/>
          <w:szCs w:val="24"/>
        </w:rPr>
      </w:pPr>
      <w:r w:rsidRPr="00532CEF">
        <w:rPr>
          <w:rFonts w:ascii="Times New Roman" w:hAnsi="Times New Roman" w:cs="Times New Roman"/>
          <w:sz w:val="24"/>
          <w:szCs w:val="24"/>
        </w:rPr>
        <w:t>У</w:t>
      </w:r>
      <w:r w:rsidRPr="00532CEF">
        <w:rPr>
          <w:rFonts w:ascii="Times New Roman" w:eastAsia="Calibri" w:hAnsi="Times New Roman" w:cs="Times New Roman"/>
          <w:sz w:val="24"/>
          <w:szCs w:val="24"/>
        </w:rPr>
        <w:t xml:space="preserve"> 2015 році</w:t>
      </w:r>
      <w:r w:rsidRPr="00532CEF">
        <w:rPr>
          <w:rFonts w:ascii="Times New Roman" w:hAnsi="Times New Roman" w:cs="Times New Roman"/>
          <w:sz w:val="24"/>
          <w:szCs w:val="24"/>
        </w:rPr>
        <w:t xml:space="preserve"> в </w:t>
      </w:r>
      <w:r w:rsidRPr="00532CEF">
        <w:rPr>
          <w:rFonts w:ascii="Times New Roman" w:eastAsia="Calibri" w:hAnsi="Times New Roman" w:cs="Times New Roman"/>
          <w:sz w:val="24"/>
          <w:szCs w:val="24"/>
        </w:rPr>
        <w:t>середньому по області золоті та срібні відзнаки отримали 70,6%</w:t>
      </w:r>
      <w:r w:rsidRPr="00532CEF">
        <w:rPr>
          <w:rFonts w:ascii="Times New Roman" w:hAnsi="Times New Roman" w:cs="Times New Roman"/>
          <w:sz w:val="24"/>
          <w:szCs w:val="24"/>
        </w:rPr>
        <w:t xml:space="preserve"> випускників </w:t>
      </w:r>
      <w:r w:rsidRPr="00532CEF">
        <w:rPr>
          <w:rFonts w:ascii="Times New Roman" w:eastAsia="Calibri" w:hAnsi="Times New Roman" w:cs="Times New Roman"/>
          <w:sz w:val="24"/>
          <w:szCs w:val="24"/>
        </w:rPr>
        <w:t xml:space="preserve"> з числа претендентів (ДПА у формі ЗНО проводилося з української мови), у 2016 році – 63,2% (ДПА у формі ЗНО проводилося з двох предметів: української мови та історії України або математики за вибором)</w:t>
      </w:r>
      <w:r w:rsidRPr="00532CEF">
        <w:rPr>
          <w:rFonts w:ascii="Times New Roman" w:hAnsi="Times New Roman" w:cs="Times New Roman"/>
          <w:sz w:val="24"/>
          <w:szCs w:val="24"/>
        </w:rPr>
        <w:t xml:space="preserve">. </w:t>
      </w:r>
    </w:p>
    <w:p w:rsidR="0058051B" w:rsidRPr="004142AB" w:rsidRDefault="0058051B" w:rsidP="0058051B">
      <w:pPr>
        <w:spacing w:after="0"/>
        <w:ind w:firstLine="567"/>
        <w:jc w:val="both"/>
        <w:rPr>
          <w:rFonts w:ascii="Times New Roman" w:hAnsi="Times New Roman" w:cs="Times New Roman"/>
          <w:sz w:val="24"/>
          <w:szCs w:val="24"/>
        </w:rPr>
      </w:pPr>
      <w:r w:rsidRPr="004142AB">
        <w:rPr>
          <w:rFonts w:ascii="Times New Roman" w:hAnsi="Times New Roman" w:cs="Times New Roman"/>
          <w:sz w:val="24"/>
          <w:szCs w:val="24"/>
        </w:rPr>
        <w:t xml:space="preserve">У </w:t>
      </w:r>
      <w:r w:rsidRPr="004142AB">
        <w:rPr>
          <w:rFonts w:ascii="Times New Roman" w:eastAsia="Calibri" w:hAnsi="Times New Roman" w:cs="Times New Roman"/>
          <w:sz w:val="24"/>
          <w:szCs w:val="24"/>
        </w:rPr>
        <w:t xml:space="preserve">2017 </w:t>
      </w:r>
      <w:r w:rsidRPr="004142AB">
        <w:rPr>
          <w:rFonts w:ascii="Times New Roman" w:hAnsi="Times New Roman" w:cs="Times New Roman"/>
          <w:sz w:val="24"/>
          <w:szCs w:val="24"/>
        </w:rPr>
        <w:t xml:space="preserve">та 2018 роках випускники ЗЗСО складали державну підсумкову атестацію у формі ЗНО з трьох предметів. Частка випускників, нагороджених медалями від загальної кількості претендентів у 2017 році становила 61,4%, у 2018 році – 59,2%.  </w:t>
      </w:r>
    </w:p>
    <w:p w:rsidR="00246876" w:rsidRDefault="0058051B">
      <w:r w:rsidRPr="0058051B">
        <w:rPr>
          <w:noProof/>
          <w:lang w:eastAsia="uk-UA"/>
        </w:rPr>
        <w:drawing>
          <wp:inline distT="0" distB="0" distL="0" distR="0">
            <wp:extent cx="6120765" cy="2981325"/>
            <wp:effectExtent l="19050" t="0" r="13335" b="0"/>
            <wp:docPr id="7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246876" w:rsidSect="0024687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051B"/>
    <w:rsid w:val="00246876"/>
    <w:rsid w:val="0051272B"/>
    <w:rsid w:val="0058051B"/>
    <w:rsid w:val="00897B00"/>
    <w:rsid w:val="00F21E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5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5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1;&#1102;&#1076;&#1084;&#1080;&#1083;&#1072;\Desktop\&#1084;&#1077;&#1076;&#1072;&#1083;&#1110;&#1089;&#1090;&#1080;%2020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1;&#1102;&#1076;&#1084;&#1080;&#1083;&#1072;\Desktop\&#1084;&#1077;&#1076;&#1072;&#1083;&#1110;&#1089;&#1090;&#1080;%20201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1;&#1102;&#1076;&#1084;&#1080;&#1083;&#1072;\Desktop\&#1084;&#1077;&#1076;&#1072;&#1083;&#1110;%202018\&#1084;&#1077;&#1076;&#1072;&#1083;&#1110;&#1089;&#1090;&#1080;%202018.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1;&#1102;&#1076;&#1084;&#1080;&#1083;&#1072;\Desktop\&#1084;&#1077;&#1076;&#1072;&#1083;&#1110;&#1089;&#1090;&#1080;%202018.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1;&#1102;&#1076;&#1084;&#1080;&#1083;&#1072;\Desktop\&#1084;&#1077;&#1076;&#1072;&#1083;&#1110;&#1089;&#1090;&#1080;%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11"/>
  <c:chart>
    <c:title>
      <c:tx>
        <c:rich>
          <a:bodyPr/>
          <a:lstStyle/>
          <a:p>
            <a:pPr>
              <a:defRPr sz="1600"/>
            </a:pPr>
            <a:r>
              <a:rPr lang="uk-UA" sz="1400"/>
              <a:t>Загальна кількість</a:t>
            </a:r>
            <a:r>
              <a:rPr lang="uk-UA" sz="1400" baseline="0"/>
              <a:t> претендентів на нагородження  та нагороджених золотими і срібними медалями</a:t>
            </a:r>
          </a:p>
          <a:p>
            <a:pPr>
              <a:defRPr sz="1600"/>
            </a:pPr>
            <a:r>
              <a:rPr lang="uk-UA" sz="1400" baseline="0"/>
              <a:t> у 2018 році</a:t>
            </a:r>
            <a:endParaRPr lang="uk-UA" sz="1400"/>
          </a:p>
        </c:rich>
      </c:tx>
    </c:title>
    <c:view3D>
      <c:rAngAx val="1"/>
    </c:view3D>
    <c:plotArea>
      <c:layout/>
      <c:bar3DChart>
        <c:barDir val="col"/>
        <c:grouping val="clustered"/>
        <c:ser>
          <c:idx val="0"/>
          <c:order val="0"/>
          <c:tx>
            <c:strRef>
              <c:f>райони_міста_отг!$A$70</c:f>
              <c:strCache>
                <c:ptCount val="1"/>
                <c:pt idx="0">
                  <c:v>золото</c:v>
                </c:pt>
              </c:strCache>
            </c:strRef>
          </c:tx>
          <c:dLbls>
            <c:dLbl>
              <c:idx val="0"/>
              <c:layout>
                <c:manualLayout>
                  <c:x val="1.6853930099099031E-2"/>
                  <c:y val="-3.4591186403410495E-2"/>
                </c:manualLayout>
              </c:layout>
              <c:showVal val="1"/>
            </c:dLbl>
            <c:dLbl>
              <c:idx val="1"/>
              <c:layout>
                <c:manualLayout>
                  <c:x val="2.8089883498498409E-2"/>
                  <c:y val="-3.7735839712811706E-2"/>
                </c:manualLayout>
              </c:layout>
              <c:showVal val="1"/>
            </c:dLbl>
            <c:txPr>
              <a:bodyPr/>
              <a:lstStyle/>
              <a:p>
                <a:pPr>
                  <a:defRPr sz="1400"/>
                </a:pPr>
                <a:endParaRPr lang="uk-UA"/>
              </a:p>
            </c:txPr>
            <c:showVal val="1"/>
          </c:dLbls>
          <c:cat>
            <c:strRef>
              <c:f>райони_міста_отг!$B$69:$C$69</c:f>
              <c:strCache>
                <c:ptCount val="2"/>
                <c:pt idx="0">
                  <c:v>до ЗНО</c:v>
                </c:pt>
                <c:pt idx="1">
                  <c:v>після ЗНО</c:v>
                </c:pt>
              </c:strCache>
            </c:strRef>
          </c:cat>
          <c:val>
            <c:numRef>
              <c:f>райони_міста_отг!$B$70:$C$70</c:f>
              <c:numCache>
                <c:formatCode>General</c:formatCode>
                <c:ptCount val="2"/>
                <c:pt idx="0">
                  <c:v>541</c:v>
                </c:pt>
                <c:pt idx="1">
                  <c:v>255</c:v>
                </c:pt>
              </c:numCache>
            </c:numRef>
          </c:val>
        </c:ser>
        <c:ser>
          <c:idx val="1"/>
          <c:order val="1"/>
          <c:tx>
            <c:strRef>
              <c:f>райони_міста_отг!$A$71</c:f>
              <c:strCache>
                <c:ptCount val="1"/>
                <c:pt idx="0">
                  <c:v>срібло</c:v>
                </c:pt>
              </c:strCache>
            </c:strRef>
          </c:tx>
          <c:dLbls>
            <c:dLbl>
              <c:idx val="0"/>
              <c:layout>
                <c:manualLayout>
                  <c:x val="2.2471906798798819E-2"/>
                  <c:y val="-4.0880493022212555E-2"/>
                </c:manualLayout>
              </c:layout>
              <c:showVal val="1"/>
            </c:dLbl>
            <c:dLbl>
              <c:idx val="1"/>
              <c:layout>
                <c:manualLayout>
                  <c:x val="2.6217224598598529E-2"/>
                  <c:y val="-3.7735839712811664E-2"/>
                </c:manualLayout>
              </c:layout>
              <c:showVal val="1"/>
            </c:dLbl>
            <c:txPr>
              <a:bodyPr/>
              <a:lstStyle/>
              <a:p>
                <a:pPr>
                  <a:defRPr sz="1400"/>
                </a:pPr>
                <a:endParaRPr lang="uk-UA"/>
              </a:p>
            </c:txPr>
            <c:showVal val="1"/>
          </c:dLbls>
          <c:cat>
            <c:strRef>
              <c:f>райони_міста_отг!$B$69:$C$69</c:f>
              <c:strCache>
                <c:ptCount val="2"/>
                <c:pt idx="0">
                  <c:v>до ЗНО</c:v>
                </c:pt>
                <c:pt idx="1">
                  <c:v>після ЗНО</c:v>
                </c:pt>
              </c:strCache>
            </c:strRef>
          </c:cat>
          <c:val>
            <c:numRef>
              <c:f>райони_міста_отг!$B$71:$C$71</c:f>
              <c:numCache>
                <c:formatCode>General</c:formatCode>
                <c:ptCount val="2"/>
                <c:pt idx="0">
                  <c:v>128</c:v>
                </c:pt>
                <c:pt idx="1">
                  <c:v>141</c:v>
                </c:pt>
              </c:numCache>
            </c:numRef>
          </c:val>
        </c:ser>
        <c:dLbls>
          <c:showVal val="1"/>
        </c:dLbls>
        <c:shape val="box"/>
        <c:axId val="63108992"/>
        <c:axId val="63156608"/>
        <c:axId val="0"/>
      </c:bar3DChart>
      <c:catAx>
        <c:axId val="63108992"/>
        <c:scaling>
          <c:orientation val="minMax"/>
        </c:scaling>
        <c:axPos val="b"/>
        <c:majorTickMark val="none"/>
        <c:tickLblPos val="nextTo"/>
        <c:txPr>
          <a:bodyPr/>
          <a:lstStyle/>
          <a:p>
            <a:pPr>
              <a:defRPr sz="1200"/>
            </a:pPr>
            <a:endParaRPr lang="uk-UA"/>
          </a:p>
        </c:txPr>
        <c:crossAx val="63156608"/>
        <c:crosses val="autoZero"/>
        <c:auto val="1"/>
        <c:lblAlgn val="ctr"/>
        <c:lblOffset val="100"/>
      </c:catAx>
      <c:valAx>
        <c:axId val="63156608"/>
        <c:scaling>
          <c:orientation val="minMax"/>
        </c:scaling>
        <c:axPos val="l"/>
        <c:majorGridlines/>
        <c:numFmt formatCode="General" sourceLinked="1"/>
        <c:majorTickMark val="none"/>
        <c:tickLblPos val="nextTo"/>
        <c:crossAx val="63108992"/>
        <c:crosses val="autoZero"/>
        <c:crossBetween val="between"/>
      </c:valAx>
    </c:plotArea>
    <c:legend>
      <c:legendPos val="b"/>
      <c:txPr>
        <a:bodyPr/>
        <a:lstStyle/>
        <a:p>
          <a:pPr>
            <a:defRPr sz="1200"/>
          </a:pPr>
          <a:endParaRPr lang="uk-UA"/>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3"/>
  <c:chart>
    <c:title>
      <c:tx>
        <c:rich>
          <a:bodyPr/>
          <a:lstStyle/>
          <a:p>
            <a:pPr>
              <a:defRPr sz="1400"/>
            </a:pPr>
            <a:r>
              <a:rPr lang="uk-UA" sz="1400"/>
              <a:t>Загальна кількість випускників-претендентів на нагородження та нагороджених золотими та срібними медалями у 2018 році</a:t>
            </a:r>
          </a:p>
        </c:rich>
      </c:tx>
    </c:title>
    <c:plotArea>
      <c:layout/>
      <c:barChart>
        <c:barDir val="bar"/>
        <c:grouping val="clustered"/>
        <c:ser>
          <c:idx val="0"/>
          <c:order val="0"/>
          <c:tx>
            <c:strRef>
              <c:f>райони_міста!$C$1</c:f>
              <c:strCache>
                <c:ptCount val="1"/>
                <c:pt idx="0">
                  <c:v>до ЗНО</c:v>
                </c:pt>
              </c:strCache>
            </c:strRef>
          </c:tx>
          <c:dLbls>
            <c:txPr>
              <a:bodyPr/>
              <a:lstStyle/>
              <a:p>
                <a:pPr>
                  <a:defRPr sz="1400"/>
                </a:pPr>
                <a:endParaRPr lang="uk-UA"/>
              </a:p>
            </c:txPr>
            <c:dLblPos val="outEnd"/>
            <c:showVal val="1"/>
          </c:dLbls>
          <c:cat>
            <c:strRef>
              <c:f>райони_міста!$A$2:$A$22</c:f>
              <c:strCache>
                <c:ptCount val="21"/>
                <c:pt idx="0">
                  <c:v>м.Тернопіль</c:v>
                </c:pt>
                <c:pt idx="1">
                  <c:v>м.Бережани</c:v>
                </c:pt>
                <c:pt idx="2">
                  <c:v>м.Кременець</c:v>
                </c:pt>
                <c:pt idx="3">
                  <c:v>м.Чортків</c:v>
                </c:pt>
                <c:pt idx="4">
                  <c:v>Бережанський</c:v>
                </c:pt>
                <c:pt idx="5">
                  <c:v>Борщівський </c:v>
                </c:pt>
                <c:pt idx="6">
                  <c:v>Бучацький </c:v>
                </c:pt>
                <c:pt idx="7">
                  <c:v>Гусятинський</c:v>
                </c:pt>
                <c:pt idx="8">
                  <c:v>Заліщицький </c:v>
                </c:pt>
                <c:pt idx="9">
                  <c:v>Збаразький </c:v>
                </c:pt>
                <c:pt idx="10">
                  <c:v>Зборівський</c:v>
                </c:pt>
                <c:pt idx="11">
                  <c:v>Козівський </c:v>
                </c:pt>
                <c:pt idx="12">
                  <c:v>Кременецький </c:v>
                </c:pt>
                <c:pt idx="13">
                  <c:v>Лановецький </c:v>
                </c:pt>
                <c:pt idx="14">
                  <c:v>Монастириський </c:v>
                </c:pt>
                <c:pt idx="15">
                  <c:v>Підволочиський </c:v>
                </c:pt>
                <c:pt idx="16">
                  <c:v>Підгаєцький </c:v>
                </c:pt>
                <c:pt idx="17">
                  <c:v>Теребовлянський </c:v>
                </c:pt>
                <c:pt idx="18">
                  <c:v>Тернопільський </c:v>
                </c:pt>
                <c:pt idx="19">
                  <c:v>Чортківський</c:v>
                </c:pt>
                <c:pt idx="20">
                  <c:v>Шумський </c:v>
                </c:pt>
              </c:strCache>
            </c:strRef>
          </c:cat>
          <c:val>
            <c:numRef>
              <c:f>райони_міста!$C$2:$C$22</c:f>
              <c:numCache>
                <c:formatCode>General</c:formatCode>
                <c:ptCount val="21"/>
                <c:pt idx="0">
                  <c:v>206</c:v>
                </c:pt>
                <c:pt idx="1">
                  <c:v>27</c:v>
                </c:pt>
                <c:pt idx="2">
                  <c:v>20</c:v>
                </c:pt>
                <c:pt idx="3">
                  <c:v>18</c:v>
                </c:pt>
                <c:pt idx="4">
                  <c:v>3</c:v>
                </c:pt>
                <c:pt idx="5">
                  <c:v>41</c:v>
                </c:pt>
                <c:pt idx="6">
                  <c:v>32</c:v>
                </c:pt>
                <c:pt idx="7">
                  <c:v>32</c:v>
                </c:pt>
                <c:pt idx="8">
                  <c:v>35</c:v>
                </c:pt>
                <c:pt idx="9">
                  <c:v>19</c:v>
                </c:pt>
                <c:pt idx="10">
                  <c:v>10</c:v>
                </c:pt>
                <c:pt idx="11">
                  <c:v>34</c:v>
                </c:pt>
                <c:pt idx="12">
                  <c:v>37</c:v>
                </c:pt>
                <c:pt idx="13">
                  <c:v>19</c:v>
                </c:pt>
                <c:pt idx="14">
                  <c:v>14</c:v>
                </c:pt>
                <c:pt idx="15">
                  <c:v>32</c:v>
                </c:pt>
                <c:pt idx="16">
                  <c:v>18</c:v>
                </c:pt>
                <c:pt idx="17">
                  <c:v>36</c:v>
                </c:pt>
                <c:pt idx="18">
                  <c:v>15</c:v>
                </c:pt>
                <c:pt idx="19">
                  <c:v>6</c:v>
                </c:pt>
                <c:pt idx="20">
                  <c:v>15</c:v>
                </c:pt>
              </c:numCache>
            </c:numRef>
          </c:val>
        </c:ser>
        <c:ser>
          <c:idx val="1"/>
          <c:order val="1"/>
          <c:tx>
            <c:strRef>
              <c:f>райони_міста!$D$1</c:f>
              <c:strCache>
                <c:ptCount val="1"/>
                <c:pt idx="0">
                  <c:v>після ЗНО</c:v>
                </c:pt>
              </c:strCache>
            </c:strRef>
          </c:tx>
          <c:dLbls>
            <c:txPr>
              <a:bodyPr/>
              <a:lstStyle/>
              <a:p>
                <a:pPr>
                  <a:defRPr sz="1400"/>
                </a:pPr>
                <a:endParaRPr lang="uk-UA"/>
              </a:p>
            </c:txPr>
            <c:dLblPos val="outEnd"/>
            <c:showVal val="1"/>
          </c:dLbls>
          <c:cat>
            <c:strRef>
              <c:f>райони_міста!$A$2:$A$22</c:f>
              <c:strCache>
                <c:ptCount val="21"/>
                <c:pt idx="0">
                  <c:v>м.Тернопіль</c:v>
                </c:pt>
                <c:pt idx="1">
                  <c:v>м.Бережани</c:v>
                </c:pt>
                <c:pt idx="2">
                  <c:v>м.Кременець</c:v>
                </c:pt>
                <c:pt idx="3">
                  <c:v>м.Чортків</c:v>
                </c:pt>
                <c:pt idx="4">
                  <c:v>Бережанський</c:v>
                </c:pt>
                <c:pt idx="5">
                  <c:v>Борщівський </c:v>
                </c:pt>
                <c:pt idx="6">
                  <c:v>Бучацький </c:v>
                </c:pt>
                <c:pt idx="7">
                  <c:v>Гусятинський</c:v>
                </c:pt>
                <c:pt idx="8">
                  <c:v>Заліщицький </c:v>
                </c:pt>
                <c:pt idx="9">
                  <c:v>Збаразький </c:v>
                </c:pt>
                <c:pt idx="10">
                  <c:v>Зборівський</c:v>
                </c:pt>
                <c:pt idx="11">
                  <c:v>Козівський </c:v>
                </c:pt>
                <c:pt idx="12">
                  <c:v>Кременецький </c:v>
                </c:pt>
                <c:pt idx="13">
                  <c:v>Лановецький </c:v>
                </c:pt>
                <c:pt idx="14">
                  <c:v>Монастириський </c:v>
                </c:pt>
                <c:pt idx="15">
                  <c:v>Підволочиський </c:v>
                </c:pt>
                <c:pt idx="16">
                  <c:v>Підгаєцький </c:v>
                </c:pt>
                <c:pt idx="17">
                  <c:v>Теребовлянський </c:v>
                </c:pt>
                <c:pt idx="18">
                  <c:v>Тернопільський </c:v>
                </c:pt>
                <c:pt idx="19">
                  <c:v>Чортківський</c:v>
                </c:pt>
                <c:pt idx="20">
                  <c:v>Шумський </c:v>
                </c:pt>
              </c:strCache>
            </c:strRef>
          </c:cat>
          <c:val>
            <c:numRef>
              <c:f>райони_міста!$D$2:$D$22</c:f>
              <c:numCache>
                <c:formatCode>General</c:formatCode>
                <c:ptCount val="21"/>
                <c:pt idx="0">
                  <c:v>156</c:v>
                </c:pt>
                <c:pt idx="1">
                  <c:v>20</c:v>
                </c:pt>
                <c:pt idx="2">
                  <c:v>9</c:v>
                </c:pt>
                <c:pt idx="3">
                  <c:v>13</c:v>
                </c:pt>
                <c:pt idx="4">
                  <c:v>3</c:v>
                </c:pt>
                <c:pt idx="5">
                  <c:v>15</c:v>
                </c:pt>
                <c:pt idx="6">
                  <c:v>19</c:v>
                </c:pt>
                <c:pt idx="7">
                  <c:v>17</c:v>
                </c:pt>
                <c:pt idx="8">
                  <c:v>19</c:v>
                </c:pt>
                <c:pt idx="9">
                  <c:v>11</c:v>
                </c:pt>
                <c:pt idx="10">
                  <c:v>7</c:v>
                </c:pt>
                <c:pt idx="11">
                  <c:v>17</c:v>
                </c:pt>
                <c:pt idx="12">
                  <c:v>19</c:v>
                </c:pt>
                <c:pt idx="13">
                  <c:v>8</c:v>
                </c:pt>
                <c:pt idx="14">
                  <c:v>7</c:v>
                </c:pt>
                <c:pt idx="15">
                  <c:v>11</c:v>
                </c:pt>
                <c:pt idx="16">
                  <c:v>8</c:v>
                </c:pt>
                <c:pt idx="17">
                  <c:v>15</c:v>
                </c:pt>
                <c:pt idx="18">
                  <c:v>8</c:v>
                </c:pt>
                <c:pt idx="19">
                  <c:v>2</c:v>
                </c:pt>
                <c:pt idx="20">
                  <c:v>12</c:v>
                </c:pt>
              </c:numCache>
            </c:numRef>
          </c:val>
        </c:ser>
        <c:dLbls>
          <c:showVal val="1"/>
        </c:dLbls>
        <c:gapWidth val="75"/>
        <c:overlap val="-25"/>
        <c:axId val="65133568"/>
        <c:axId val="66205952"/>
      </c:barChart>
      <c:catAx>
        <c:axId val="65133568"/>
        <c:scaling>
          <c:orientation val="minMax"/>
        </c:scaling>
        <c:axPos val="l"/>
        <c:majorTickMark val="none"/>
        <c:tickLblPos val="nextTo"/>
        <c:txPr>
          <a:bodyPr/>
          <a:lstStyle/>
          <a:p>
            <a:pPr>
              <a:defRPr sz="1400"/>
            </a:pPr>
            <a:endParaRPr lang="uk-UA"/>
          </a:p>
        </c:txPr>
        <c:crossAx val="66205952"/>
        <c:crosses val="autoZero"/>
        <c:auto val="1"/>
        <c:lblAlgn val="ctr"/>
        <c:lblOffset val="100"/>
      </c:catAx>
      <c:valAx>
        <c:axId val="66205952"/>
        <c:scaling>
          <c:orientation val="minMax"/>
          <c:max val="220"/>
        </c:scaling>
        <c:axPos val="b"/>
        <c:majorGridlines/>
        <c:numFmt formatCode="General" sourceLinked="1"/>
        <c:majorTickMark val="none"/>
        <c:tickLblPos val="nextTo"/>
        <c:crossAx val="65133568"/>
        <c:crosses val="autoZero"/>
        <c:crossBetween val="between"/>
        <c:majorUnit val="20"/>
      </c:valAx>
    </c:plotArea>
    <c:legend>
      <c:legendPos val="b"/>
      <c:txPr>
        <a:bodyPr/>
        <a:lstStyle/>
        <a:p>
          <a:pPr>
            <a:defRPr sz="1400"/>
          </a:pPr>
          <a:endParaRPr lang="uk-UA"/>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uk-UA" sz="1400"/>
              <a:t>Відсоток випускників, нагороджених золотими</a:t>
            </a:r>
            <a:r>
              <a:rPr lang="uk-UA" sz="1400" baseline="0"/>
              <a:t> та срібними медалями, від загальної кількості претендентів у 2018 році</a:t>
            </a:r>
            <a:endParaRPr lang="uk-UA" sz="1400"/>
          </a:p>
        </c:rich>
      </c:tx>
      <c:layout>
        <c:manualLayout>
          <c:xMode val="edge"/>
          <c:yMode val="edge"/>
          <c:x val="0.12631221887449431"/>
          <c:y val="3.5614033611795819E-2"/>
        </c:manualLayout>
      </c:layout>
    </c:title>
    <c:plotArea>
      <c:layout>
        <c:manualLayout>
          <c:layoutTarget val="inner"/>
          <c:xMode val="edge"/>
          <c:yMode val="edge"/>
          <c:x val="0.19782002859398667"/>
          <c:y val="0.17066006862402233"/>
          <c:w val="0.77399113728670543"/>
          <c:h val="0.75379551075495377"/>
        </c:manualLayout>
      </c:layout>
      <c:barChart>
        <c:barDir val="bar"/>
        <c:grouping val="clustered"/>
        <c:ser>
          <c:idx val="0"/>
          <c:order val="0"/>
          <c:dPt>
            <c:idx val="14"/>
            <c:spPr>
              <a:solidFill>
                <a:srgbClr val="00B050"/>
              </a:solidFill>
            </c:spPr>
          </c:dPt>
          <c:dLbls>
            <c:txPr>
              <a:bodyPr/>
              <a:lstStyle/>
              <a:p>
                <a:pPr>
                  <a:defRPr sz="1200"/>
                </a:pPr>
                <a:endParaRPr lang="uk-UA"/>
              </a:p>
            </c:txPr>
            <c:dLblPos val="outEnd"/>
            <c:showVal val="1"/>
          </c:dLbls>
          <c:cat>
            <c:strRef>
              <c:f>райони_міста!$A$79:$A$100</c:f>
              <c:strCache>
                <c:ptCount val="22"/>
                <c:pt idx="0">
                  <c:v>Чортківський </c:v>
                </c:pt>
                <c:pt idx="1">
                  <c:v>Підволочиський</c:v>
                </c:pt>
                <c:pt idx="2">
                  <c:v>Борщівський </c:v>
                </c:pt>
                <c:pt idx="3">
                  <c:v>Теребовлянський</c:v>
                </c:pt>
                <c:pt idx="4">
                  <c:v>Лановецький </c:v>
                </c:pt>
                <c:pt idx="5">
                  <c:v>Підгаєцький </c:v>
                </c:pt>
                <c:pt idx="6">
                  <c:v>м.Кременець</c:v>
                </c:pt>
                <c:pt idx="7">
                  <c:v>Козівський</c:v>
                </c:pt>
                <c:pt idx="8">
                  <c:v>Монастириський</c:v>
                </c:pt>
                <c:pt idx="9">
                  <c:v>Кременецький</c:v>
                </c:pt>
                <c:pt idx="10">
                  <c:v>Гусятинський </c:v>
                </c:pt>
                <c:pt idx="11">
                  <c:v>Тернопільський</c:v>
                </c:pt>
                <c:pt idx="12">
                  <c:v>Заліщицький</c:v>
                </c:pt>
                <c:pt idx="13">
                  <c:v>Збаразький </c:v>
                </c:pt>
                <c:pt idx="14">
                  <c:v>Область</c:v>
                </c:pt>
                <c:pt idx="15">
                  <c:v>Бучацький</c:v>
                </c:pt>
                <c:pt idx="16">
                  <c:v>Зборівський</c:v>
                </c:pt>
                <c:pt idx="17">
                  <c:v>м.Чортків</c:v>
                </c:pt>
                <c:pt idx="18">
                  <c:v>м.Бережани</c:v>
                </c:pt>
                <c:pt idx="19">
                  <c:v>м.Тернопіль</c:v>
                </c:pt>
                <c:pt idx="20">
                  <c:v>Шумський </c:v>
                </c:pt>
                <c:pt idx="21">
                  <c:v>Бережанський </c:v>
                </c:pt>
              </c:strCache>
            </c:strRef>
          </c:cat>
          <c:val>
            <c:numRef>
              <c:f>райони_міста!$D$79:$D$100</c:f>
              <c:numCache>
                <c:formatCode>0.0</c:formatCode>
                <c:ptCount val="22"/>
                <c:pt idx="0">
                  <c:v>33.333333333333329</c:v>
                </c:pt>
                <c:pt idx="1">
                  <c:v>34.375</c:v>
                </c:pt>
                <c:pt idx="2">
                  <c:v>36.585365853658494</c:v>
                </c:pt>
                <c:pt idx="3">
                  <c:v>41.666666666666444</c:v>
                </c:pt>
                <c:pt idx="4">
                  <c:v>42.105263157894726</c:v>
                </c:pt>
                <c:pt idx="5">
                  <c:v>44.444444444444208</c:v>
                </c:pt>
                <c:pt idx="6">
                  <c:v>45</c:v>
                </c:pt>
                <c:pt idx="7">
                  <c:v>50</c:v>
                </c:pt>
                <c:pt idx="8">
                  <c:v>50</c:v>
                </c:pt>
                <c:pt idx="9">
                  <c:v>51.351351351351191</c:v>
                </c:pt>
                <c:pt idx="10">
                  <c:v>53.125000000000121</c:v>
                </c:pt>
                <c:pt idx="11">
                  <c:v>53.333333333333336</c:v>
                </c:pt>
                <c:pt idx="12">
                  <c:v>54.285714285714285</c:v>
                </c:pt>
                <c:pt idx="13">
                  <c:v>57.894736842105438</c:v>
                </c:pt>
                <c:pt idx="14">
                  <c:v>59.192825112107663</c:v>
                </c:pt>
                <c:pt idx="15">
                  <c:v>59.375</c:v>
                </c:pt>
                <c:pt idx="16">
                  <c:v>70</c:v>
                </c:pt>
                <c:pt idx="17">
                  <c:v>72.222222222222214</c:v>
                </c:pt>
                <c:pt idx="18">
                  <c:v>74.074074074074048</c:v>
                </c:pt>
                <c:pt idx="19">
                  <c:v>75.728155339805809</c:v>
                </c:pt>
                <c:pt idx="20">
                  <c:v>80</c:v>
                </c:pt>
                <c:pt idx="21">
                  <c:v>100</c:v>
                </c:pt>
              </c:numCache>
            </c:numRef>
          </c:val>
        </c:ser>
        <c:dLbls>
          <c:showVal val="1"/>
        </c:dLbls>
        <c:axId val="66549248"/>
        <c:axId val="66550784"/>
      </c:barChart>
      <c:catAx>
        <c:axId val="66549248"/>
        <c:scaling>
          <c:orientation val="minMax"/>
        </c:scaling>
        <c:axPos val="l"/>
        <c:numFmt formatCode="General" sourceLinked="1"/>
        <c:tickLblPos val="nextTo"/>
        <c:txPr>
          <a:bodyPr/>
          <a:lstStyle/>
          <a:p>
            <a:pPr>
              <a:defRPr sz="1200"/>
            </a:pPr>
            <a:endParaRPr lang="uk-UA"/>
          </a:p>
        </c:txPr>
        <c:crossAx val="66550784"/>
        <c:crosses val="autoZero"/>
        <c:auto val="1"/>
        <c:lblAlgn val="ctr"/>
        <c:lblOffset val="100"/>
      </c:catAx>
      <c:valAx>
        <c:axId val="66550784"/>
        <c:scaling>
          <c:orientation val="minMax"/>
          <c:max val="100"/>
        </c:scaling>
        <c:axPos val="b"/>
        <c:majorGridlines/>
        <c:numFmt formatCode="0" sourceLinked="0"/>
        <c:tickLblPos val="nextTo"/>
        <c:txPr>
          <a:bodyPr/>
          <a:lstStyle/>
          <a:p>
            <a:pPr>
              <a:defRPr sz="1100"/>
            </a:pPr>
            <a:endParaRPr lang="uk-UA"/>
          </a:p>
        </c:txPr>
        <c:crossAx val="66549248"/>
        <c:crosses val="autoZero"/>
        <c:crossBetween val="between"/>
        <c:majorUnit val="20"/>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sz="1400"/>
            </a:pPr>
            <a:r>
              <a:rPr lang="uk-UA" sz="1400"/>
              <a:t>Відсоток нагороджених золотими та срібними медалями від загальної кількості випускників району/міста</a:t>
            </a:r>
          </a:p>
        </c:rich>
      </c:tx>
      <c:layout>
        <c:manualLayout>
          <c:xMode val="edge"/>
          <c:yMode val="edge"/>
          <c:x val="0.13330817307967222"/>
          <c:y val="2.5894300900829718E-2"/>
        </c:manualLayout>
      </c:layout>
    </c:title>
    <c:plotArea>
      <c:layout/>
      <c:lineChart>
        <c:grouping val="standard"/>
        <c:ser>
          <c:idx val="0"/>
          <c:order val="0"/>
          <c:dLbls>
            <c:txPr>
              <a:bodyPr/>
              <a:lstStyle/>
              <a:p>
                <a:pPr>
                  <a:defRPr sz="1400"/>
                </a:pPr>
                <a:endParaRPr lang="uk-UA"/>
              </a:p>
            </c:txPr>
            <c:dLblPos val="t"/>
            <c:showVal val="1"/>
          </c:dLbls>
          <c:cat>
            <c:strRef>
              <c:f>райони_міста!$A$48:$A$69</c:f>
              <c:strCache>
                <c:ptCount val="22"/>
                <c:pt idx="0">
                  <c:v>м.Тернопіль</c:v>
                </c:pt>
                <c:pt idx="1">
                  <c:v>м.Бережани</c:v>
                </c:pt>
                <c:pt idx="2">
                  <c:v>м.Кременець</c:v>
                </c:pt>
                <c:pt idx="3">
                  <c:v>м.Чортків</c:v>
                </c:pt>
                <c:pt idx="4">
                  <c:v>Бережанський</c:v>
                </c:pt>
                <c:pt idx="5">
                  <c:v>Борщівський </c:v>
                </c:pt>
                <c:pt idx="6">
                  <c:v>Бучацький </c:v>
                </c:pt>
                <c:pt idx="7">
                  <c:v>Гусятинський</c:v>
                </c:pt>
                <c:pt idx="8">
                  <c:v>Заліщицький </c:v>
                </c:pt>
                <c:pt idx="9">
                  <c:v>Збаразький </c:v>
                </c:pt>
                <c:pt idx="10">
                  <c:v>Зборівський</c:v>
                </c:pt>
                <c:pt idx="11">
                  <c:v>Козівський </c:v>
                </c:pt>
                <c:pt idx="12">
                  <c:v>Кременецький </c:v>
                </c:pt>
                <c:pt idx="13">
                  <c:v>Лановецький </c:v>
                </c:pt>
                <c:pt idx="14">
                  <c:v>Монастириський </c:v>
                </c:pt>
                <c:pt idx="15">
                  <c:v>Підволочиський </c:v>
                </c:pt>
                <c:pt idx="16">
                  <c:v>Підгаєцький </c:v>
                </c:pt>
                <c:pt idx="17">
                  <c:v>Теребовлянський </c:v>
                </c:pt>
                <c:pt idx="18">
                  <c:v>Тернопільський </c:v>
                </c:pt>
                <c:pt idx="19">
                  <c:v>Чортківський</c:v>
                </c:pt>
                <c:pt idx="20">
                  <c:v>Шумський </c:v>
                </c:pt>
                <c:pt idx="21">
                  <c:v>Область</c:v>
                </c:pt>
              </c:strCache>
            </c:strRef>
          </c:cat>
          <c:val>
            <c:numRef>
              <c:f>райони_міста!$D$48:$D$69</c:f>
              <c:numCache>
                <c:formatCode>0.0</c:formatCode>
                <c:ptCount val="22"/>
                <c:pt idx="0">
                  <c:v>13.612565445026178</c:v>
                </c:pt>
                <c:pt idx="1">
                  <c:v>20.408163265306122</c:v>
                </c:pt>
                <c:pt idx="2">
                  <c:v>14.285714285714286</c:v>
                </c:pt>
                <c:pt idx="3">
                  <c:v>11.50442477876107</c:v>
                </c:pt>
                <c:pt idx="4">
                  <c:v>3.9473684210526314</c:v>
                </c:pt>
                <c:pt idx="5">
                  <c:v>6.8181818181817846</c:v>
                </c:pt>
                <c:pt idx="6">
                  <c:v>6.4846416382252556</c:v>
                </c:pt>
                <c:pt idx="7">
                  <c:v>5.8620689655172376</c:v>
                </c:pt>
                <c:pt idx="8">
                  <c:v>11.176470588235302</c:v>
                </c:pt>
                <c:pt idx="9">
                  <c:v>5.2631578947368416</c:v>
                </c:pt>
                <c:pt idx="10">
                  <c:v>4.6979865771811538</c:v>
                </c:pt>
                <c:pt idx="11">
                  <c:v>11.724137931034468</c:v>
                </c:pt>
                <c:pt idx="12">
                  <c:v>9.3137254901960684</c:v>
                </c:pt>
                <c:pt idx="13">
                  <c:v>6.25</c:v>
                </c:pt>
                <c:pt idx="14">
                  <c:v>3.5897435897435868</c:v>
                </c:pt>
                <c:pt idx="15">
                  <c:v>7.4324324324324333</c:v>
                </c:pt>
                <c:pt idx="16">
                  <c:v>8.8888888888888893</c:v>
                </c:pt>
                <c:pt idx="17">
                  <c:v>5.8823529411764675</c:v>
                </c:pt>
                <c:pt idx="18">
                  <c:v>4.4692737430167844</c:v>
                </c:pt>
                <c:pt idx="19">
                  <c:v>2.197802197802198</c:v>
                </c:pt>
                <c:pt idx="20">
                  <c:v>10.256410256410309</c:v>
                </c:pt>
                <c:pt idx="21">
                  <c:v>9.0431605389358314</c:v>
                </c:pt>
              </c:numCache>
            </c:numRef>
          </c:val>
        </c:ser>
        <c:dLbls>
          <c:showVal val="1"/>
        </c:dLbls>
        <c:marker val="1"/>
        <c:axId val="67262720"/>
        <c:axId val="74518912"/>
      </c:lineChart>
      <c:catAx>
        <c:axId val="67262720"/>
        <c:scaling>
          <c:orientation val="minMax"/>
        </c:scaling>
        <c:axPos val="b"/>
        <c:majorTickMark val="none"/>
        <c:tickLblPos val="nextTo"/>
        <c:txPr>
          <a:bodyPr rot="-5400000" vert="horz"/>
          <a:lstStyle/>
          <a:p>
            <a:pPr>
              <a:defRPr sz="1200"/>
            </a:pPr>
            <a:endParaRPr lang="uk-UA"/>
          </a:p>
        </c:txPr>
        <c:crossAx val="74518912"/>
        <c:crosses val="autoZero"/>
        <c:auto val="1"/>
        <c:lblAlgn val="ctr"/>
        <c:lblOffset val="100"/>
      </c:catAx>
      <c:valAx>
        <c:axId val="74518912"/>
        <c:scaling>
          <c:orientation val="minMax"/>
        </c:scaling>
        <c:axPos val="l"/>
        <c:majorGridlines/>
        <c:numFmt formatCode="0" sourceLinked="0"/>
        <c:majorTickMark val="none"/>
        <c:tickLblPos val="nextTo"/>
        <c:spPr>
          <a:ln w="9525">
            <a:noFill/>
          </a:ln>
        </c:spPr>
        <c:crossAx val="6726272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sz="1400"/>
            </a:pPr>
            <a:r>
              <a:rPr lang="uk-UA" sz="1400" b="1" i="0" baseline="0"/>
              <a:t>Відсоток випускників, нагороджених золотими та срібними медалями, від загальної кількості претендентів</a:t>
            </a:r>
          </a:p>
          <a:p>
            <a:pPr>
              <a:defRPr sz="1400"/>
            </a:pPr>
            <a:r>
              <a:rPr lang="uk-UA" sz="1400" b="1" i="0" baseline="0"/>
              <a:t> (за роками навчання)</a:t>
            </a:r>
          </a:p>
        </c:rich>
      </c:tx>
    </c:title>
    <c:view3D>
      <c:rAngAx val="1"/>
    </c:view3D>
    <c:plotArea>
      <c:layout/>
      <c:bar3DChart>
        <c:barDir val="col"/>
        <c:grouping val="clustered"/>
        <c:ser>
          <c:idx val="0"/>
          <c:order val="0"/>
          <c:dLbls>
            <c:dLbl>
              <c:idx val="0"/>
              <c:layout>
                <c:manualLayout>
                  <c:x val="2.5600000000000012E-2"/>
                  <c:y val="-3.4348165495706483E-2"/>
                </c:manualLayout>
              </c:layout>
              <c:showVal val="1"/>
            </c:dLbl>
            <c:dLbl>
              <c:idx val="1"/>
              <c:layout>
                <c:manualLayout>
                  <c:x val="2.5600000000000012E-2"/>
                  <c:y val="-2.8103044496487064E-2"/>
                </c:manualLayout>
              </c:layout>
              <c:showVal val="1"/>
            </c:dLbl>
            <c:dLbl>
              <c:idx val="2"/>
              <c:layout>
                <c:manualLayout>
                  <c:x val="2.3466666666666743E-2"/>
                  <c:y val="-2.8103044496487119E-2"/>
                </c:manualLayout>
              </c:layout>
              <c:showVal val="1"/>
            </c:dLbl>
            <c:dLbl>
              <c:idx val="3"/>
              <c:layout>
                <c:manualLayout>
                  <c:x val="1.9199999999999998E-2"/>
                  <c:y val="-3.4348165495706483E-2"/>
                </c:manualLayout>
              </c:layout>
              <c:showVal val="1"/>
            </c:dLbl>
            <c:txPr>
              <a:bodyPr/>
              <a:lstStyle/>
              <a:p>
                <a:pPr>
                  <a:defRPr sz="1400"/>
                </a:pPr>
                <a:endParaRPr lang="uk-UA"/>
              </a:p>
            </c:txPr>
            <c:showVal val="1"/>
          </c:dLbls>
          <c:cat>
            <c:strRef>
              <c:f>райони_міста_отг!$A$165:$A$168</c:f>
              <c:strCache>
                <c:ptCount val="4"/>
                <c:pt idx="0">
                  <c:v>2014-2015 н.р.</c:v>
                </c:pt>
                <c:pt idx="1">
                  <c:v>2015-2016 н.р.</c:v>
                </c:pt>
                <c:pt idx="2">
                  <c:v>2016-2017 н.р.</c:v>
                </c:pt>
                <c:pt idx="3">
                  <c:v>2017-2018 н.р.</c:v>
                </c:pt>
              </c:strCache>
            </c:strRef>
          </c:cat>
          <c:val>
            <c:numRef>
              <c:f>райони_міста_отг!$B$165:$B$168</c:f>
              <c:numCache>
                <c:formatCode>General</c:formatCode>
                <c:ptCount val="4"/>
                <c:pt idx="0">
                  <c:v>70.599999999999994</c:v>
                </c:pt>
                <c:pt idx="1">
                  <c:v>63.2</c:v>
                </c:pt>
                <c:pt idx="2">
                  <c:v>61.4</c:v>
                </c:pt>
                <c:pt idx="3">
                  <c:v>59.2</c:v>
                </c:pt>
              </c:numCache>
            </c:numRef>
          </c:val>
        </c:ser>
        <c:shape val="box"/>
        <c:axId val="63381888"/>
        <c:axId val="63383424"/>
        <c:axId val="0"/>
      </c:bar3DChart>
      <c:catAx>
        <c:axId val="63381888"/>
        <c:scaling>
          <c:orientation val="minMax"/>
        </c:scaling>
        <c:axPos val="b"/>
        <c:tickLblPos val="nextTo"/>
        <c:txPr>
          <a:bodyPr/>
          <a:lstStyle/>
          <a:p>
            <a:pPr>
              <a:defRPr sz="1200"/>
            </a:pPr>
            <a:endParaRPr lang="uk-UA"/>
          </a:p>
        </c:txPr>
        <c:crossAx val="63383424"/>
        <c:crosses val="autoZero"/>
        <c:auto val="1"/>
        <c:lblAlgn val="ctr"/>
        <c:lblOffset val="100"/>
      </c:catAx>
      <c:valAx>
        <c:axId val="63383424"/>
        <c:scaling>
          <c:orientation val="minMax"/>
        </c:scaling>
        <c:axPos val="l"/>
        <c:majorGridlines/>
        <c:numFmt formatCode="General" sourceLinked="1"/>
        <c:tickLblPos val="nextTo"/>
        <c:crossAx val="63381888"/>
        <c:crosses val="autoZero"/>
        <c:crossBetween val="between"/>
        <c:majorUnit val="5"/>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2787</Words>
  <Characters>1589</Characters>
  <Application>Microsoft Office Word</Application>
  <DocSecurity>0</DocSecurity>
  <Lines>13</Lines>
  <Paragraphs>8</Paragraphs>
  <ScaleCrop>false</ScaleCrop>
  <Company>Reanimator Extreme Edition</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2018-10-31T06:48:00Z</dcterms:created>
  <dcterms:modified xsi:type="dcterms:W3CDTF">2018-10-31T08:00:00Z</dcterms:modified>
</cp:coreProperties>
</file>