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48"/>
          <w:szCs w:val="48"/>
        </w:rPr>
        <w:t xml:space="preserve">        </w:t>
      </w:r>
      <w:r>
        <w:rPr>
          <w:b/>
          <w:bCs/>
          <w:sz w:val="48"/>
          <w:szCs w:val="48"/>
        </w:rPr>
        <w:t>План роботи   клубу   для   батьків</w:t>
      </w:r>
    </w:p>
    <w:p>
      <w:pPr>
        <w:pStyle w:val="style0"/>
      </w:pPr>
      <w:r>
        <w:rPr>
          <w:b/>
          <w:bCs/>
          <w:sz w:val="48"/>
          <w:szCs w:val="48"/>
        </w:rPr>
        <w:t xml:space="preserve">            “</w:t>
      </w:r>
      <w:r>
        <w:rPr>
          <w:b/>
          <w:bCs/>
          <w:sz w:val="48"/>
          <w:szCs w:val="48"/>
        </w:rPr>
        <w:t>Розвиваймо  дитину   разом”</w:t>
      </w:r>
    </w:p>
    <w:p>
      <w:pPr>
        <w:pStyle w:val="style0"/>
      </w:pPr>
      <w:r>
        <w:rPr>
          <w:b/>
          <w:bCs/>
          <w:sz w:val="48"/>
          <w:szCs w:val="48"/>
        </w:rPr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660"/>
        <w:gridCol w:w="3195"/>
        <w:gridCol w:w="1927"/>
        <w:gridCol w:w="1928"/>
        <w:gridCol w:w="1935"/>
      </w:tblGrid>
      <w:tr>
        <w:trPr>
          <w:cantSplit w:val="false"/>
        </w:trPr>
        <w:tc>
          <w:tcPr>
            <w:tcW w:type="dxa" w:w="66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style20"/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type="dxa" w:w="3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Тематика  занять</w:t>
            </w:r>
          </w:p>
        </w:tc>
        <w:tc>
          <w:tcPr>
            <w:tcW w:type="dxa" w:w="192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28"/>
                <w:szCs w:val="28"/>
              </w:rPr>
              <w:t>Форма  проведення</w:t>
            </w:r>
          </w:p>
        </w:tc>
        <w:tc>
          <w:tcPr>
            <w:tcW w:type="dxa" w:w="192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Термін</w:t>
            </w:r>
          </w:p>
        </w:tc>
        <w:tc>
          <w:tcPr>
            <w:tcW w:type="dxa" w:w="193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28"/>
                <w:szCs w:val="28"/>
              </w:rPr>
              <w:t>Відповідаль-</w:t>
            </w:r>
          </w:p>
          <w:p>
            <w:pPr>
              <w:pStyle w:val="style20"/>
            </w:pPr>
            <w:r>
              <w:rPr>
                <w:b/>
                <w:bCs/>
                <w:sz w:val="28"/>
                <w:szCs w:val="28"/>
              </w:rPr>
              <w:t>ний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Створення  належного  розвивального  середовища  в  закладі   та  вдома-необхідна  умова  сучасного  розвитку  дитини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Семінар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Психолог,</w:t>
            </w:r>
          </w:p>
          <w:p>
            <w:pPr>
              <w:pStyle w:val="style20"/>
            </w:pPr>
            <w:r>
              <w:rPr>
                <w:sz w:val="24"/>
                <w:szCs w:val="24"/>
              </w:rPr>
              <w:t>методист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Допоможи   мені  зробити  це  самому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Консультація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Психолог</w:t>
            </w:r>
          </w:p>
          <w:p>
            <w:pPr>
              <w:pStyle w:val="style2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День   відкритих   дверей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Відкритий   перегляд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Методист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Створення  умов  для  розвитку  сенсорних  здібностей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Педагогічний  практикум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Вихователі,  психолог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Такі  важкі  “прості”  завдання  (залучення  батьків  до  виконання  завдань  на  зразок  “Танграм”,  “Колумбове   яйце”)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Сенсорний   практикум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Психолог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Подорож   до  країни   Сенсорики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Спільний   виховний  захід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bookmarkStart w:id="0" w:name="__DdeLink__7_2071388756"/>
            <w:r>
              <w:rPr>
                <w:sz w:val="24"/>
                <w:szCs w:val="24"/>
              </w:rPr>
              <w:t>Вихователі, психолог,</w:t>
            </w:r>
          </w:p>
          <w:p>
            <w:pPr>
              <w:pStyle w:val="style20"/>
            </w:pPr>
            <w:bookmarkStart w:id="1" w:name="__DdeLink__7_2071388756"/>
            <w:bookmarkEnd w:id="1"/>
            <w:r>
              <w:rPr>
                <w:sz w:val="24"/>
                <w:szCs w:val="24"/>
              </w:rPr>
              <w:t>муз. керівник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Залучення  батьків   до  виготовлення    сенсорних  ігор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Сенсорний   практикум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Вихователі, психолог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Значення  сенсорного  розвитку  дитини  дошкільного  віку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Вечір  запитань  та  відповідей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Методист,</w:t>
            </w:r>
          </w:p>
          <w:p>
            <w:pPr>
              <w:pStyle w:val="style20"/>
            </w:pPr>
            <w:r>
              <w:rPr>
                <w:sz w:val="24"/>
                <w:szCs w:val="24"/>
              </w:rPr>
              <w:t>психолог,</w:t>
            </w:r>
          </w:p>
          <w:p>
            <w:pPr>
              <w:pStyle w:val="style20"/>
            </w:pPr>
            <w:r>
              <w:rPr>
                <w:sz w:val="24"/>
                <w:szCs w:val="24"/>
              </w:rPr>
              <w:t>вихователі</w:t>
            </w:r>
          </w:p>
        </w:tc>
      </w:tr>
      <w:tr>
        <w:trPr>
          <w:cantSplit w:val="false"/>
        </w:trPr>
        <w:tc>
          <w:tcPr>
            <w:tcW w:type="dxa" w:w="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type="dxa" w:w="319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Досягнення   за  рік</w:t>
            </w:r>
          </w:p>
        </w:tc>
        <w:tc>
          <w:tcPr>
            <w:tcW w:type="dxa" w:w="1927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Відкритий   перегляд</w:t>
            </w:r>
          </w:p>
        </w:tc>
        <w:tc>
          <w:tcPr>
            <w:tcW w:type="dxa" w:w="1928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type="dxa" w:w="1935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4"/>
                <w:szCs w:val="24"/>
              </w:rPr>
              <w:t>Вихователі, психолог,</w:t>
            </w:r>
          </w:p>
          <w:p>
            <w:pPr>
              <w:pStyle w:val="style20"/>
            </w:pPr>
            <w:r>
              <w:rPr>
                <w:sz w:val="24"/>
                <w:szCs w:val="24"/>
              </w:rPr>
              <w:t>муз. керівник</w:t>
            </w:r>
          </w:p>
        </w:tc>
      </w:tr>
    </w:tbl>
    <w:p>
      <w:pPr>
        <w:pStyle w:val="style0"/>
      </w:pPr>
      <w:r>
        <w:rPr>
          <w:b/>
          <w:bCs/>
          <w:sz w:val="48"/>
          <w:szCs w:val="48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  <w:style w:styleId="style20" w:type="paragraph">
    <w:name w:val="Содержимое таблицы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2015-03-18T18:23:40.25Z</dcterms:created>
  <cp:revision>0</cp:revision>
</cp:coreProperties>
</file>