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8"/>
          <w:szCs w:val="48"/>
        </w:rPr>
        <w:t xml:space="preserve">           </w:t>
      </w:r>
      <w:r>
        <w:rPr>
          <w:b/>
          <w:bCs/>
          <w:sz w:val="48"/>
          <w:szCs w:val="48"/>
        </w:rPr>
        <w:t>Рекомендації    для   педагогів</w:t>
      </w:r>
    </w:p>
    <w:p>
      <w:pPr>
        <w:pStyle w:val="style0"/>
      </w:pP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щодо   формування  сенсорної  компетентності</w:t>
      </w:r>
    </w:p>
    <w:p>
      <w:pPr>
        <w:pStyle w:val="style0"/>
      </w:pPr>
      <w:r>
        <w:rPr>
          <w:b/>
          <w:bCs/>
          <w:sz w:val="44"/>
          <w:szCs w:val="44"/>
        </w:rPr>
        <w:t xml:space="preserve">                               </w:t>
      </w:r>
      <w:r>
        <w:rPr>
          <w:b/>
          <w:bCs/>
          <w:sz w:val="44"/>
          <w:szCs w:val="44"/>
        </w:rPr>
        <w:t>в     дітей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Проаналізувавши   набутий   досвід,  ми  хотіли   б   зазначити,     що   для   успішної    роботи   з   організації    сенсорного   виховання   дітей   необхідно: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-мати    велике    бажання;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-бути    відповідальним;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працювати    систематично,   творчо,   перспективно;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-займатися   підвищенням   власної   фахової   майстерності;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-вивчити    новітню    педагогічну   літературу;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-працювати   в   тісному    контакті   з    батьками;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-не   обмежувати   творчість    дітей;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-співпрацювати    з    психологом;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-працювати   з   дітьми за   певною   системою,   яка   має    чітко    визначений    характер;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-ретельно   добирати    дидактичний   матеріал,    дотримуючись   принципу   послідовності,  доступності    та     зацікавленості;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-постійно    поповнювати   дидактичний    матеріал   згідно   із    сучасними    вимогами   щодо   розвитку   дитини;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-давати   дітям  можливість   спілкуватися   з    дорослими   як   рівний     з   рівним,   обстоюючи   свою   думку;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-не   зупинятися   на   досягнутому,   творити,   отримувати   задоволення   від   результатів   своєї   праці   та   творчих   досягнень    малят!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                        </w:t>
      </w:r>
    </w:p>
    <w:p>
      <w:pPr>
        <w:pStyle w:val="style0"/>
        <w:jc w:val="both"/>
      </w:pPr>
      <w:r>
        <w:rPr/>
        <w:t xml:space="preserve">                          </w:t>
      </w:r>
      <w:r>
        <w:rPr>
          <w:b/>
          <w:bCs/>
          <w:sz w:val="48"/>
          <w:szCs w:val="48"/>
        </w:rPr>
        <w:t>Пам</w:t>
      </w:r>
      <w:r>
        <w:rPr>
          <w:b/>
          <w:bCs/>
          <w:sz w:val="48"/>
          <w:szCs w:val="48"/>
          <w:lang w:val="en-US"/>
        </w:rPr>
        <w:t>'</w:t>
      </w:r>
      <w:r>
        <w:rPr>
          <w:b/>
          <w:bCs/>
          <w:sz w:val="48"/>
          <w:szCs w:val="48"/>
          <w:lang w:val="uk-UA"/>
        </w:rPr>
        <w:t>ятка   для   вихователів</w:t>
      </w:r>
      <w:r>
        <w:rPr/>
        <w:t xml:space="preserve">        </w:t>
      </w:r>
    </w:p>
    <w:p>
      <w:pPr>
        <w:pStyle w:val="style0"/>
        <w:jc w:val="both"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48"/>
          <w:szCs w:val="48"/>
        </w:rPr>
        <w:t xml:space="preserve">   “</w:t>
      </w:r>
      <w:r>
        <w:rPr>
          <w:b/>
          <w:bCs/>
          <w:sz w:val="48"/>
          <w:szCs w:val="48"/>
        </w:rPr>
        <w:t>Послідовність   ознайомлення   дітей  із</w:t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                    </w:t>
      </w:r>
      <w:r>
        <w:rPr>
          <w:b/>
          <w:bCs/>
          <w:sz w:val="48"/>
          <w:szCs w:val="48"/>
        </w:rPr>
        <w:t>величиною”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-Вибір   із   двох   предметів   більшого  або   меншого.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-Розкладання   однорідних   предметів   різної    величини   за   принципом   “такий — не такий”.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-Вибір  предметів   одного    розміру    з   групи    однорідних   предметів   різної   величини.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-Вибір   із   двох   предметів   одного   рівного   третьому.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-Сортування   різнорідних    предметів   за   розміром.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-Оцінка   співвідношення   частин  предметів   за   розміром.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 Виділення   різних   предметів  (довжини,   ширини,  висоти).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 Закріплення   еталона — розкладання   предметів   у   ряди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“</w:t>
      </w:r>
      <w:r>
        <w:rPr>
          <w:b w:val="false"/>
          <w:bCs w:val="false"/>
          <w:sz w:val="36"/>
          <w:szCs w:val="36"/>
        </w:rPr>
        <w:t>зменшення — збільшення”.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-Виконання   завдань   за словесною   інструкцією.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    </w:t>
      </w:r>
      <w:bookmarkStart w:id="0" w:name="__DdeLink__22_1441756079"/>
      <w:r>
        <w:rPr>
          <w:b w:val="false"/>
          <w:bCs w:val="false"/>
          <w:sz w:val="36"/>
          <w:szCs w:val="36"/>
        </w:rPr>
        <w:t xml:space="preserve">                                       </w:t>
      </w:r>
    </w:p>
    <w:p>
      <w:pPr>
        <w:pStyle w:val="style0"/>
        <w:jc w:val="both"/>
      </w:pPr>
      <w:r>
        <w:rPr/>
        <w:t xml:space="preserve">                          </w:t>
      </w:r>
      <w:r>
        <w:rPr>
          <w:b/>
          <w:bCs/>
          <w:sz w:val="48"/>
          <w:szCs w:val="48"/>
        </w:rPr>
        <w:t>Пам</w:t>
      </w:r>
      <w:r>
        <w:rPr>
          <w:b/>
          <w:bCs/>
          <w:sz w:val="48"/>
          <w:szCs w:val="48"/>
          <w:lang w:val="en-US"/>
        </w:rPr>
        <w:t>'</w:t>
      </w:r>
      <w:r>
        <w:rPr>
          <w:b/>
          <w:bCs/>
          <w:sz w:val="48"/>
          <w:szCs w:val="48"/>
          <w:lang w:val="uk-UA"/>
        </w:rPr>
        <w:t>ятка   для   вихователів</w:t>
      </w:r>
      <w:r>
        <w:rPr/>
        <w:t xml:space="preserve">        </w:t>
      </w:r>
    </w:p>
    <w:p>
      <w:pPr>
        <w:pStyle w:val="style0"/>
        <w:jc w:val="both"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48"/>
          <w:szCs w:val="48"/>
        </w:rPr>
        <w:t xml:space="preserve">   “</w:t>
      </w:r>
      <w:r>
        <w:rPr>
          <w:b/>
          <w:bCs/>
          <w:sz w:val="48"/>
          <w:szCs w:val="48"/>
        </w:rPr>
        <w:t>Послідовність   ознайомлення   дітей  із</w:t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                    </w:t>
      </w:r>
      <w:bookmarkEnd w:id="0"/>
      <w:r>
        <w:rPr>
          <w:b/>
          <w:bCs/>
          <w:sz w:val="48"/>
          <w:szCs w:val="48"/>
        </w:rPr>
        <w:t>формою”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-Просування   предметів   різної   форми  у  відповідні  отвори.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-Вибір   предметів   за   формою   згідно   з   принципом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“</w:t>
      </w:r>
      <w:r>
        <w:rPr>
          <w:b w:val="false"/>
          <w:bCs w:val="false"/>
          <w:sz w:val="36"/>
          <w:szCs w:val="36"/>
        </w:rPr>
        <w:t>такий-не такий”.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-Розкладання   предметів,   зізко   відмінних   за   формою.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-Розкладання   предметів,    близьких   за  формою.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                </w:t>
      </w:r>
      <w:r>
        <w:rPr/>
        <w:t xml:space="preserve"> </w:t>
      </w:r>
      <w:r>
        <w:rPr>
          <w:b/>
          <w:bCs/>
          <w:sz w:val="48"/>
          <w:szCs w:val="48"/>
        </w:rPr>
        <w:t>Пам</w:t>
      </w:r>
      <w:r>
        <w:rPr>
          <w:b/>
          <w:bCs/>
          <w:sz w:val="48"/>
          <w:szCs w:val="48"/>
          <w:lang w:val="en-US"/>
        </w:rPr>
        <w:t>'</w:t>
      </w:r>
      <w:r>
        <w:rPr>
          <w:b/>
          <w:bCs/>
          <w:sz w:val="48"/>
          <w:szCs w:val="48"/>
          <w:lang w:val="uk-UA"/>
        </w:rPr>
        <w:t>ятка   для   вихователів</w:t>
      </w:r>
      <w:r>
        <w:rPr/>
        <w:t xml:space="preserve">        </w:t>
      </w:r>
    </w:p>
    <w:p>
      <w:pPr>
        <w:pStyle w:val="style0"/>
        <w:jc w:val="both"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48"/>
          <w:szCs w:val="48"/>
        </w:rPr>
        <w:t xml:space="preserve">   “</w:t>
      </w:r>
      <w:r>
        <w:rPr>
          <w:b/>
          <w:bCs/>
          <w:sz w:val="48"/>
          <w:szCs w:val="48"/>
        </w:rPr>
        <w:t>Послідовність   ознайомлення   дітей  із</w:t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                    </w:t>
      </w:r>
      <w:r>
        <w:rPr>
          <w:b/>
          <w:bCs/>
          <w:sz w:val="48"/>
          <w:szCs w:val="48"/>
        </w:rPr>
        <w:t>кольором”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-Вибір   предметів   одного   кольору.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 Послідовне   ознайомлення   дитини   з   різноманітними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</w:t>
      </w:r>
      <w:r>
        <w:rPr>
          <w:b w:val="false"/>
          <w:bCs w:val="false"/>
          <w:sz w:val="36"/>
          <w:szCs w:val="36"/>
        </w:rPr>
        <w:t>кольорами.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-Групування   предметів   різних   за   формою,   величиною  і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</w:t>
      </w:r>
      <w:r>
        <w:rPr>
          <w:b w:val="false"/>
          <w:bCs w:val="false"/>
          <w:sz w:val="36"/>
          <w:szCs w:val="36"/>
        </w:rPr>
        <w:t>тих,   що   мають   один   колір.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- Сортування предметів   двох і більше   кольорів: контрасних,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</w:t>
      </w:r>
      <w:r>
        <w:rPr>
          <w:b w:val="false"/>
          <w:bCs w:val="false"/>
          <w:sz w:val="36"/>
          <w:szCs w:val="36"/>
        </w:rPr>
        <w:t>близьких   за   кольором.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</w:t>
      </w:r>
      <w:r>
        <w:rPr>
          <w:b w:val="false"/>
          <w:bCs w:val="false"/>
          <w:sz w:val="36"/>
          <w:szCs w:val="36"/>
        </w:rPr>
        <w:t xml:space="preserve">-Групування   та   диференціація    за     кольором,   що   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</w:t>
      </w:r>
      <w:r>
        <w:rPr>
          <w:b w:val="false"/>
          <w:bCs w:val="false"/>
          <w:sz w:val="36"/>
          <w:szCs w:val="36"/>
        </w:rPr>
        <w:t>представлений    відтінками.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                    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    </w:t>
      </w:r>
      <w:r>
        <w:rPr>
          <w:b/>
          <w:bCs/>
          <w:sz w:val="48"/>
          <w:szCs w:val="48"/>
        </w:rPr>
        <w:t>Консультація    для   батьків    на  тему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“</w:t>
      </w:r>
      <w:r>
        <w:rPr>
          <w:b/>
          <w:bCs/>
          <w:sz w:val="48"/>
          <w:szCs w:val="48"/>
        </w:rPr>
        <w:t>Допоможи  мені   зробити  це  самому”</w:t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</w:rPr>
        <w:t>“</w:t>
      </w:r>
      <w:r>
        <w:rPr>
          <w:b w:val="false"/>
          <w:bCs w:val="false"/>
          <w:sz w:val="36"/>
          <w:szCs w:val="36"/>
        </w:rPr>
        <w:t>Допоможи   мені   зробити    це самому”-таке    гасло   методики   Марії   Монтессорі.   Саме  її   ідеї   дали   поштовх  для   розвитку   сенсорного   виховання   дітей.   Кожна   дитина — це   унікальна,   неповторна   особистість.   І  в  кожній   дитині   від   природи  закладена   внутрішня   потреба   пізнавати   навколишній   світ.    Дорослому    потрібно   лише   своєчасно   забезпечити    необхідні   умови   для   цього,   а   саме: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</w:rPr>
        <w:t>- створити   розвивальне   середовище,  дібравши   об</w:t>
      </w:r>
      <w:r>
        <w:rPr>
          <w:b w:val="false"/>
          <w:bCs w:val="false"/>
          <w:sz w:val="36"/>
          <w:szCs w:val="36"/>
          <w:lang w:val="en-US"/>
        </w:rPr>
        <w:t>'</w:t>
      </w:r>
      <w:r>
        <w:rPr>
          <w:b w:val="false"/>
          <w:bCs w:val="false"/>
          <w:sz w:val="36"/>
          <w:szCs w:val="36"/>
          <w:lang w:val="uk-UA"/>
        </w:rPr>
        <w:t>єкти для   вивчення;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- не   заважати   дитині   самостійно  оволодівати   знаннями, допомагаючи   лише   в  разі   потреби   або   якщо   вона сама попросить   допомоги.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Іноді    малюка   можна   порівняти   з   ліліпутом   у  країні   велетнів:  більша   частина   цікавих   для   нього   речей   йому   недосяжна.   Крім   того,   він   іще  не пристосувався   до   незнайомого   світу:  в  нього   погана   координація  рухів,   він   не   впевнений  у   собі   й не   завжди   знає, що   робити з   предметами,   які   його оточують.   Завдання   дорослих -  допомогти  дитині   адаптуватися,   підготувати   для   цього   умови.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“</w:t>
      </w:r>
      <w:r>
        <w:rPr>
          <w:b w:val="false"/>
          <w:bCs w:val="false"/>
          <w:sz w:val="36"/>
          <w:szCs w:val="36"/>
          <w:lang w:val="uk-UA"/>
        </w:rPr>
        <w:t>Світ   сповнений    запахів   та   кольорів” - від   народження   дитини   до  5-ти   років — період   активного   чуттєвого,  сенсорного   розвитку.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У  цей   період   дитина  особливо   здатна   до   сприйняття   кольору,   форми,   розмірів   предметів,   навколишніх  звуків.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Розвитку   основних   органів   чуття   малюка   можна  й   треба  сприяти.   Дорослі   повинні   надати   дитині   якомога   більше   об</w:t>
      </w:r>
      <w:r>
        <w:rPr>
          <w:b w:val="false"/>
          <w:bCs w:val="false"/>
          <w:sz w:val="36"/>
          <w:szCs w:val="36"/>
          <w:lang w:val="en-US"/>
        </w:rPr>
        <w:t>'</w:t>
      </w:r>
      <w:r>
        <w:rPr>
          <w:b w:val="false"/>
          <w:bCs w:val="false"/>
          <w:sz w:val="36"/>
          <w:szCs w:val="36"/>
          <w:lang w:val="uk-UA"/>
        </w:rPr>
        <w:t>єктів   для   вивчення.  Щоб   активно розвивалися   зір,  слух,  органи  чуття,  потрібно   придбати   різноманітні   посібники  й   предмети.   Предмети    повинні   мати   різноманітну   форму   й  бути   зробленими  з   різних   матеріалів.   Батьки   п</w:t>
      </w:r>
      <w:r>
        <w:rPr>
          <w:b w:val="false"/>
          <w:bCs w:val="false"/>
          <w:sz w:val="36"/>
          <w:szCs w:val="36"/>
          <w:lang w:val="en-US"/>
        </w:rPr>
        <w:t>'</w:t>
      </w:r>
      <w:r>
        <w:rPr>
          <w:b w:val="false"/>
          <w:bCs w:val="false"/>
          <w:sz w:val="36"/>
          <w:szCs w:val="36"/>
          <w:lang w:val="uk-UA"/>
        </w:rPr>
        <w:t>ятирічних   та   шестирічних   замислюються   про   оптимальну  підготовку   своєї   дитини  до  школи,   надають   перевагу   читанню,   письму,  лічбі   й   зовсім   забувають   про   її   сенсорний  розвиток.  Проте,   за   результатами   досліджень,   сучасні   провідні   педагоги   зазначають,   що   саме   сенсорний    розвиток   є   основою   інтелектуального.  Ось   чому   так   важливо   в   цьому   віці не  забути   про   сенсорний   розвиток,    а   побудувати  роботу   з   підготовки   литини   до  школи   на  його   основі.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Навчіть   дитину   розрізняти   температуру,   торкаючись   льоду,   металевих   предметів,   нагрітих   на   сонечку   каменів,   занурюючи   руки   в   теплу   воду.   Навчайте   малюка  порівнювати  предмети  (палички,   іграшки,  стрічки)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за   висотою   та   довжиною.  Знайомте   його   з   різноманіттям   відтінків  кольорів,  звуків,   запахів.   Учіть   дитину  знаходити  предмети   того   кольору,    який  Ви   їй   називаєте.  Гра   на   музичних    інструментах   допоможе   їй   навчитися   розрізняти   їхнє   звучання.   Нюхаючи   “чарівні”   флакончики,   у   яких   лежать   спеції,   кава  чи   бавовняні    тампони   з   усілякими   ароматами,   дитина   познайомиться   з   різноманіттям   запахів.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Придбайте   дитині  або   зробіть   самі   конструктори,   кольорові    башточки,   циліндри,   пірамідки.</w:t>
      </w:r>
    </w:p>
    <w:p>
      <w:pPr>
        <w:pStyle w:val="style0"/>
        <w:jc w:val="left"/>
      </w:pPr>
      <w:r>
        <w:rPr>
          <w:b w:val="false"/>
          <w:bCs w:val="false"/>
          <w:sz w:val="36"/>
          <w:szCs w:val="36"/>
          <w:lang w:val="uk-UA"/>
        </w:rPr>
        <w:t>Фантазуйте,   вигадуйте   для   малюка   іграшки,   які   розвивають   його,   а   не   дають   готові   рішення,   надавайте   дитині  повну    свободу   для   задоволення   її   цікавості!</w:t>
      </w:r>
    </w:p>
    <w:p>
      <w:pPr>
        <w:pStyle w:val="style0"/>
        <w:jc w:val="left"/>
      </w:pPr>
      <w:r>
        <w:rPr/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          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                          </w:t>
      </w:r>
      <w:r>
        <w:rPr>
          <w:b/>
          <w:bCs/>
          <w:sz w:val="48"/>
          <w:szCs w:val="48"/>
        </w:rPr>
        <w:t>Рекомендації  для   батьків</w:t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                   </w:t>
      </w:r>
      <w:r>
        <w:rPr>
          <w:b/>
          <w:bCs/>
          <w:sz w:val="48"/>
          <w:szCs w:val="48"/>
        </w:rPr>
        <w:t>на    тему</w:t>
      </w:r>
    </w:p>
    <w:p>
      <w:pPr>
        <w:pStyle w:val="style0"/>
        <w:jc w:val="both"/>
      </w:pPr>
      <w:r>
        <w:rPr>
          <w:b/>
          <w:bCs/>
          <w:sz w:val="48"/>
          <w:szCs w:val="48"/>
        </w:rPr>
        <w:t xml:space="preserve">         “</w:t>
      </w:r>
      <w:r>
        <w:rPr>
          <w:b/>
          <w:bCs/>
          <w:sz w:val="48"/>
          <w:szCs w:val="48"/>
        </w:rPr>
        <w:t>Сенсорний   розвиток -  вдома”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Сенсорний   розвиток   дитини — це   важливий   та  значущий   процес   для   гармонійного   розвитку   дитини.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>Як   же   організувати   його   вдома?   Даємо   вам   кілька   порад   щодо   того,  у   які   ігри   без   особливих   витрат   можна   пограти   з    дитиною   вдома.</w:t>
      </w:r>
    </w:p>
    <w:p>
      <w:pPr>
        <w:pStyle w:val="style0"/>
        <w:jc w:val="both"/>
      </w:pPr>
      <w:r>
        <w:rPr>
          <w:b/>
          <w:bCs/>
          <w:sz w:val="36"/>
          <w:szCs w:val="36"/>
        </w:rPr>
        <w:t xml:space="preserve">1. </w:t>
      </w:r>
      <w:r>
        <w:rPr>
          <w:b w:val="false"/>
          <w:bCs w:val="false"/>
          <w:sz w:val="36"/>
          <w:szCs w:val="36"/>
        </w:rPr>
        <w:t>Коли   дитина   йде   мити  руки,   спитайте   її,  які  в  неї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зараз   руки   та  які  вони   стануть   потім.  Заохочуйте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малюка   викоритовувати   слова   “сухий”,   “мокрий”.</w:t>
      </w:r>
    </w:p>
    <w:p>
      <w:pPr>
        <w:pStyle w:val="style0"/>
        <w:jc w:val="both"/>
      </w:pPr>
      <w:r>
        <w:rPr>
          <w:b/>
          <w:bCs/>
          <w:sz w:val="36"/>
          <w:szCs w:val="36"/>
        </w:rPr>
        <w:t>2.</w:t>
      </w:r>
      <w:r>
        <w:rPr>
          <w:b w:val="false"/>
          <w:bCs w:val="false"/>
          <w:sz w:val="36"/>
          <w:szCs w:val="36"/>
        </w:rPr>
        <w:t xml:space="preserve"> Гра  “Угадай,   що я   роблю?”.   Запропонуйте   дитині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здогадатись,   які   дії   Ви  виконуєте.   Покажіть   без   слів,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 xml:space="preserve">як   Ви   вмиваєтеся,   чистите   зуби,  а  дитина   нехай 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називає   дії.   Потім   поміняйтеся   ролями.</w:t>
      </w:r>
    </w:p>
    <w:p>
      <w:pPr>
        <w:pStyle w:val="style0"/>
        <w:jc w:val="both"/>
      </w:pPr>
      <w:r>
        <w:rPr>
          <w:b/>
          <w:bCs/>
          <w:sz w:val="36"/>
          <w:szCs w:val="36"/>
        </w:rPr>
        <w:t xml:space="preserve">3. </w:t>
      </w:r>
      <w:r>
        <w:rPr>
          <w:b w:val="false"/>
          <w:bCs w:val="false"/>
          <w:sz w:val="36"/>
          <w:szCs w:val="36"/>
        </w:rPr>
        <w:t>Гра   “Помалюємо”.   Наклейте    на   чистий   аркуш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паперу   зображення   предметів,   тварин   і  попросіть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дитину   з</w:t>
      </w:r>
      <w:r>
        <w:rPr>
          <w:b w:val="false"/>
          <w:bCs w:val="false"/>
          <w:sz w:val="36"/>
          <w:szCs w:val="36"/>
          <w:lang w:val="en-US"/>
        </w:rPr>
        <w:t>'</w:t>
      </w:r>
      <w:r>
        <w:rPr>
          <w:b w:val="false"/>
          <w:bCs w:val="false"/>
          <w:sz w:val="36"/>
          <w:szCs w:val="36"/>
          <w:lang w:val="uk-UA"/>
        </w:rPr>
        <w:t xml:space="preserve">єднати  їх   лініями.  </w:t>
      </w:r>
    </w:p>
    <w:p>
      <w:pPr>
        <w:pStyle w:val="style0"/>
        <w:jc w:val="both"/>
      </w:pPr>
      <w:r>
        <w:rPr>
          <w:b/>
          <w:bCs/>
          <w:sz w:val="36"/>
          <w:szCs w:val="36"/>
          <w:lang w:val="uk-UA"/>
        </w:rPr>
        <w:t xml:space="preserve">4. </w:t>
      </w:r>
      <w:r>
        <w:rPr>
          <w:b w:val="false"/>
          <w:bCs w:val="false"/>
          <w:sz w:val="36"/>
          <w:szCs w:val="36"/>
          <w:lang w:val="uk-UA"/>
        </w:rPr>
        <w:t>Гра “Саморобні  пазли”. Розріжте   на  3  (потім  на  більше)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частини   будь-яку   предметну   картинку,   листівку.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Спочатку   запропонуйте   дитині   зібрати  її  за  зразком,  а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потім — самостійно.</w:t>
      </w:r>
    </w:p>
    <w:p>
      <w:pPr>
        <w:pStyle w:val="style0"/>
        <w:jc w:val="both"/>
      </w:pPr>
      <w:r>
        <w:rPr>
          <w:b/>
          <w:bCs/>
          <w:sz w:val="36"/>
          <w:szCs w:val="36"/>
          <w:lang w:val="uk-UA"/>
        </w:rPr>
        <w:t xml:space="preserve">5. </w:t>
      </w:r>
      <w:r>
        <w:rPr>
          <w:b w:val="false"/>
          <w:bCs w:val="false"/>
          <w:sz w:val="36"/>
          <w:szCs w:val="36"/>
          <w:lang w:val="uk-UA"/>
        </w:rPr>
        <w:t>Гра  “Заклей   дірки”. Візьміть  будь-яку  картинку,  листівку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 xml:space="preserve">(зображення   має   бути   зрозумілим   дитині),   виріжте   з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неї   квадрати,  круги,  трикутники.  Наклейте  картинку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(з  дірками)   на  аркуш   білого   паперу   та  запропонуйте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 xml:space="preserve">дитині   закрити   на   картинці   “білі   плями”   фігурами,  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які   з   неї   вирізані.</w:t>
      </w:r>
    </w:p>
    <w:p>
      <w:pPr>
        <w:pStyle w:val="style0"/>
        <w:jc w:val="both"/>
      </w:pPr>
      <w:r>
        <w:rPr>
          <w:b/>
          <w:bCs/>
          <w:sz w:val="36"/>
          <w:szCs w:val="36"/>
          <w:lang w:val="uk-UA"/>
        </w:rPr>
        <w:t>6.</w:t>
      </w:r>
      <w:r>
        <w:rPr>
          <w:b w:val="false"/>
          <w:bCs w:val="false"/>
          <w:sz w:val="36"/>
          <w:szCs w:val="36"/>
          <w:lang w:val="uk-UA"/>
        </w:rPr>
        <w:t xml:space="preserve"> По   дорозі   з   дошкільного   закладу   зверніть   увагу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дитини   на   колір   неба,   форму   хмаринок;   розгляньте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осіннє   листя,   як   іскриться   на   сонці    сніг   і  т.д.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>Такі    ігри   потребують   неабияких   розумових   зусиль   і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>сприяють   розвитку   сенсорного    сприйняття.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/>
          <w:bCs/>
          <w:sz w:val="48"/>
          <w:szCs w:val="48"/>
          <w:lang w:val="uk-UA"/>
        </w:rPr>
        <w:t xml:space="preserve">                 </w:t>
      </w:r>
      <w:r>
        <w:rPr>
          <w:b/>
          <w:bCs/>
          <w:sz w:val="48"/>
          <w:szCs w:val="48"/>
          <w:lang w:val="uk-UA"/>
        </w:rPr>
        <w:t>Правила   проведення</w:t>
      </w:r>
    </w:p>
    <w:p>
      <w:pPr>
        <w:pStyle w:val="style0"/>
        <w:jc w:val="both"/>
      </w:pPr>
      <w:r>
        <w:rPr>
          <w:b/>
          <w:bCs/>
          <w:sz w:val="48"/>
          <w:szCs w:val="48"/>
          <w:lang w:val="uk-UA"/>
        </w:rPr>
        <w:t xml:space="preserve">            </w:t>
      </w:r>
      <w:r>
        <w:rPr>
          <w:b/>
          <w:bCs/>
          <w:sz w:val="48"/>
          <w:szCs w:val="48"/>
          <w:lang w:val="uk-UA"/>
        </w:rPr>
        <w:t>дидактичних    сенсорних    ігор</w:t>
      </w:r>
    </w:p>
    <w:p>
      <w:pPr>
        <w:pStyle w:val="style0"/>
        <w:jc w:val="both"/>
      </w:pPr>
      <w:r>
        <w:rPr>
          <w:b/>
          <w:bCs/>
          <w:sz w:val="32"/>
          <w:szCs w:val="32"/>
        </w:rPr>
        <w:t>1.</w:t>
      </w:r>
      <w:r>
        <w:rPr>
          <w:b w:val="false"/>
          <w:bCs w:val="false"/>
          <w:sz w:val="32"/>
          <w:szCs w:val="32"/>
        </w:rPr>
        <w:t xml:space="preserve"> Спочатку   педагог   сам   демонструє,   як   слід   робити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аналіз  та  порівнювати,   обов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язково  коментуючи  свої  дії.</w:t>
      </w:r>
    </w:p>
    <w:p>
      <w:pPr>
        <w:pStyle w:val="style0"/>
        <w:jc w:val="both"/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Малюк   повторює   все   за  педагогом.   Ранній   вік   є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сенситивним  періодом  для  розвитку  дитячого   мовлення.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Лише  словесно   позначивши   ознаку   предмета,  можна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відокремити   її   від   цього  предмета.   Мовленнєву  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активність   малюка  потрібно   стимулювати:  ставити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конкретні    запитання,   заохочувати   до   самостійних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відповідей.   Від   трирічної   дитини   достатньо   навіть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відповіді,   що  складається   з   одного   слова,  наприклад:</w:t>
      </w:r>
    </w:p>
    <w:p>
      <w:pPr>
        <w:pStyle w:val="style0"/>
        <w:jc w:val="both"/>
      </w:pPr>
      <w:r>
        <w:rPr>
          <w:sz w:val="32"/>
          <w:szCs w:val="32"/>
        </w:rPr>
        <w:t xml:space="preserve">    “</w:t>
      </w:r>
      <w:r>
        <w:rPr>
          <w:sz w:val="32"/>
          <w:szCs w:val="32"/>
        </w:rPr>
        <w:t>однакові”,    “синя”,    “така”.  Але   педагог   повинен</w:t>
      </w:r>
    </w:p>
    <w:p>
      <w:pPr>
        <w:pStyle w:val="style0"/>
        <w:jc w:val="both"/>
      </w:pPr>
      <w:r>
        <w:rPr>
          <w:sz w:val="32"/>
          <w:szCs w:val="32"/>
        </w:rPr>
        <w:t xml:space="preserve">    “</w:t>
      </w:r>
      <w:r>
        <w:rPr>
          <w:sz w:val="32"/>
          <w:szCs w:val="32"/>
        </w:rPr>
        <w:t>розшифрувати”   й   пояснити   дії   малюка,  скажімо,  так:</w:t>
      </w:r>
    </w:p>
    <w:p>
      <w:pPr>
        <w:pStyle w:val="style0"/>
        <w:jc w:val="both"/>
      </w:pPr>
      <w:r>
        <w:rPr>
          <w:sz w:val="32"/>
          <w:szCs w:val="32"/>
        </w:rPr>
        <w:t xml:space="preserve">   “</w:t>
      </w:r>
      <w:r>
        <w:rPr>
          <w:sz w:val="32"/>
          <w:szCs w:val="32"/>
        </w:rPr>
        <w:t>Ти  поклав  фігуру   на  цей  килимок,  бо  вони  однакового</w:t>
      </w:r>
    </w:p>
    <w:p>
      <w:pPr>
        <w:pStyle w:val="style0"/>
        <w:jc w:val="both"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кольору:  і    фігура,  і   килимок — сині”.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32"/>
          <w:szCs w:val="32"/>
        </w:rPr>
        <w:t xml:space="preserve">2. </w:t>
      </w:r>
      <w:r>
        <w:rPr>
          <w:b w:val="false"/>
          <w:bCs w:val="false"/>
          <w:sz w:val="32"/>
          <w:szCs w:val="32"/>
        </w:rPr>
        <w:t>У   ранньому   віці  “рука  вчить  око”,  тобто   тактильне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обстеження   предмета  моделює   зоровий   образ.  Тому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під    час   гри   дитина   має   ознайомлюватися   з  її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атрибутами   зорово-тактильно-руховим   способом.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32"/>
          <w:szCs w:val="32"/>
        </w:rPr>
        <w:t xml:space="preserve">3. </w:t>
      </w:r>
      <w:r>
        <w:rPr>
          <w:b w:val="false"/>
          <w:bCs w:val="false"/>
          <w:sz w:val="32"/>
          <w:szCs w:val="32"/>
        </w:rPr>
        <w:t>Сприймання   дітей   раннього   віку   має   афективний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характер,   тому   важливо   викликати  в  малюка  інтерес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 xml:space="preserve">до   виконання   завдань.   Для   цього   бажано   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використовувати   яскраві,  оригінальні   іграшки   та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>малюнки.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32"/>
          <w:szCs w:val="32"/>
        </w:rPr>
        <w:t>4.</w:t>
      </w:r>
      <w:r>
        <w:rPr>
          <w:b w:val="false"/>
          <w:bCs w:val="false"/>
          <w:sz w:val="32"/>
          <w:szCs w:val="32"/>
        </w:rPr>
        <w:t xml:space="preserve"> Малята  значно  краще  реагуватимуть   на  запитання,  коли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проводити   заняття  з   невеличкими  підгрупами  дітей,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розмістивши   їх   підколом.   Завдяки  такому   розміщенню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навіть   коли  дають   загальну   інструкцію   для  всіх,   у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дитини   складатиметься  враження,   що  звертаються  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безпосередньо   до  неї.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32"/>
          <w:szCs w:val="32"/>
        </w:rPr>
        <w:t xml:space="preserve">5. </w:t>
      </w:r>
      <w:r>
        <w:rPr>
          <w:b w:val="false"/>
          <w:bCs w:val="false"/>
          <w:sz w:val="32"/>
          <w:szCs w:val="32"/>
        </w:rPr>
        <w:t>Помилки   дітей   у  процесі   гри-цілком  нормальне  явище.</w:t>
      </w:r>
    </w:p>
    <w:p>
      <w:pPr>
        <w:pStyle w:val="style0"/>
        <w:jc w:val="both"/>
      </w:pPr>
      <w:r>
        <w:rPr>
          <w:b w:val="false"/>
          <w:bCs w:val="false"/>
          <w:sz w:val="36"/>
          <w:szCs w:val="36"/>
        </w:rPr>
        <w:t xml:space="preserve">   </w:t>
      </w:r>
      <w:r>
        <w:rPr>
          <w:b w:val="false"/>
          <w:bCs w:val="false"/>
          <w:sz w:val="32"/>
          <w:szCs w:val="32"/>
        </w:rPr>
        <w:t>І   єдина   правильна   тактика   вихователя   в  таких  випадках -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 xml:space="preserve">   </w:t>
      </w:r>
      <w:r>
        <w:rPr>
          <w:b w:val="false"/>
          <w:bCs w:val="false"/>
          <w:sz w:val="32"/>
          <w:szCs w:val="32"/>
        </w:rPr>
        <w:t>терплячість,  заохочення  та   підтримка  малюка  в  його  роботі.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44"/>
          <w:szCs w:val="44"/>
        </w:rPr>
        <w:t xml:space="preserve">      </w:t>
      </w:r>
      <w:r>
        <w:rPr>
          <w:b/>
          <w:bCs/>
          <w:sz w:val="44"/>
          <w:szCs w:val="44"/>
        </w:rPr>
        <w:t xml:space="preserve">          </w:t>
      </w:r>
      <w:r>
        <w:rPr>
          <w:b/>
          <w:bCs/>
          <w:sz w:val="44"/>
          <w:szCs w:val="44"/>
        </w:rPr>
        <w:t>Консультація   для   вихователів</w:t>
      </w:r>
    </w:p>
    <w:p>
      <w:pPr>
        <w:pStyle w:val="style0"/>
        <w:jc w:val="both"/>
      </w:pPr>
      <w:r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груп  раннього   та  молодшого  дошкільного    віку</w:t>
      </w:r>
    </w:p>
    <w:p>
      <w:pPr>
        <w:pStyle w:val="style0"/>
        <w:jc w:val="both"/>
      </w:pPr>
      <w:r>
        <w:rPr>
          <w:sz w:val="40"/>
          <w:szCs w:val="40"/>
        </w:rPr>
      </w:r>
    </w:p>
    <w:p>
      <w:pPr>
        <w:pStyle w:val="style0"/>
        <w:jc w:val="both"/>
      </w:pPr>
      <w:r>
        <w:rPr>
          <w:b/>
          <w:bCs/>
          <w:sz w:val="40"/>
          <w:szCs w:val="40"/>
        </w:rPr>
        <w:t xml:space="preserve">    </w:t>
      </w:r>
      <w:r>
        <w:rPr>
          <w:b/>
          <w:bCs/>
          <w:sz w:val="44"/>
          <w:szCs w:val="44"/>
        </w:rPr>
        <w:t>“</w:t>
      </w:r>
      <w:r>
        <w:rPr>
          <w:b/>
          <w:bCs/>
          <w:sz w:val="44"/>
          <w:szCs w:val="44"/>
        </w:rPr>
        <w:t>Сенсорне  виховання  як   засіб  розумового</w:t>
      </w:r>
    </w:p>
    <w:p>
      <w:pPr>
        <w:pStyle w:val="style0"/>
        <w:jc w:val="both"/>
      </w:pPr>
      <w:r>
        <w:rPr>
          <w:b/>
          <w:bCs/>
          <w:sz w:val="44"/>
          <w:szCs w:val="44"/>
        </w:rPr>
        <w:t xml:space="preserve">                      </w:t>
      </w:r>
      <w:r>
        <w:rPr>
          <w:b/>
          <w:bCs/>
          <w:sz w:val="44"/>
          <w:szCs w:val="44"/>
        </w:rPr>
        <w:t>розвитку    дитини”</w:t>
      </w:r>
    </w:p>
    <w:p>
      <w:pPr>
        <w:pStyle w:val="style0"/>
        <w:jc w:val="both"/>
      </w:pPr>
      <w:r>
        <w:rPr>
          <w:b/>
          <w:bCs/>
          <w:sz w:val="36"/>
          <w:szCs w:val="36"/>
        </w:rPr>
        <w:t xml:space="preserve"> 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На   третьому-четвертому   році  життя   дитина  продовжує   інтенсивно   знайомитися   з  навколишнім   світом.  Її  активність  проявляється  у   більшій   самостійності,  умінні   та  бажанні   робити  щось    своїми   руками:  малювати,  ліпити,  конструювати.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У  цей   час  розширюється   також   орієнтація   дитини  в  навколишньому   світі.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Швидко   розвиваєтьсяй   наочно-образне   мислення   малюка.   У  цьому   віці   діти   можуть   діяти   в   плані   образів,   їм   доступне   виконання   завдань   на   уявлення.    Вони   виокремлюють   у   предметах   істотні   ознаки: підвищується   їхня  здатність  до  узагальнення,  порівняння.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У   розумовому   розвитку   дитини   ігри  з  дидактичними  іграшками    продовжують   займати   важливе   місце.   Діти   вже   мають   навички  “роботи”   із   тими   іграшками   й   люблять   із   ними  гратися.  Пірамідки,   башти,   мотрійки   вони   збирають  у   більш   складних   варіантах.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З  дітьми   цього   віку   можна   викоритовувати   5  видів   дидактичних   іграшок:  для   нанизування  (різноманітні   пірамідки);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  <w:t>об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 xml:space="preserve">ємні   геометричні   іграшки   </w:t>
      </w:r>
      <w:r>
        <w:rPr>
          <w:b w:val="false"/>
          <w:bCs w:val="false"/>
          <w:sz w:val="32"/>
          <w:szCs w:val="32"/>
          <w:lang w:val="uk-UA"/>
        </w:rPr>
        <w:t>для   вкладання   та   викладання  (порожнисті,   різної   конфігурації   конуси,   куби,  циліндри);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збірно-розбірні  (мотрійки,   бочечки),   а   також   предмети   та  іграшки,    спеціально   дібрані   за   певною   ознакою.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На  третьому-четвертому   році   життя   ігри   з   об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ємними   геометричними    фігурами  (кулями,   кубиками)   можна   ускладнювати   за   рахунок    виконання   дій,   які   потребують   більш   тонкої   зорової    диференціації.   Діти   вже   викладають   предмети,   однакові    за   формою,    у   трьох   величинних   співвідношеннях:  великий,   трохи   менший,   маленький.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Можна   ускладнювати   також   ігри  з   геометричними   фігурами-вкладками:   діти   збиратимуть   конструкції   з   2-4  кубів   та   циліндрів   різної   величини   й   одного  кольору або   чергуватимуть   деталі   за   кольором;   а   потім   за   кольором   та   величиною.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Ігри   зі   збірно-розбірними   іграшками   можна   ускладнювати   не   лише   за   рахунок   збільшення   кількості   викладання   предметів,   але   й  за рахунок   формування   вміння   з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єднувати  їх   за  величиною   та   візерунком.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Із   трьох   років   розширюється   використання   різноманітних  дрібних   предметів   та   невеликих   образних   іграшок.   Малюки   вже   здатні   вибирати   предмети   навпомацки,  тобто   без   зорового   контролю   впізнавати   предмет   за   формою   та   величиною,   а  також   знаходити   різноманітні    предмети,   іграшки   за   наданим   зображенням — співвідносити   реальний  предмет   і   його   зображення.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Різноманітні   заняття з   дидактичними   іграшками   сприяють   усебічному   розвитку   дітей   3-го   та   4-го   року   життя:  виховують   розумово,   фізично,   формують    навички   навчання,   підвищують   працездатність.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  <w:lang w:val="uk-UA"/>
        </w:rPr>
        <w:t>Заняття   із   сесорного   розвитку   сприяють   розвитку   дрібної   моторики  руки,   активному    мовленню,   що  є   основою   розумового    розвитку    дитини.</w:t>
      </w:r>
    </w:p>
    <w:p>
      <w:pPr>
        <w:pStyle w:val="style0"/>
        <w:jc w:val="both"/>
      </w:pPr>
      <w:r>
        <w:rPr>
          <w:b w:val="false"/>
          <w:bCs w:val="false"/>
          <w:sz w:val="32"/>
          <w:szCs w:val="32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2014-11-24T16:05:39.40Z</dcterms:created>
  <cp:revision>0</cp:revision>
</cp:coreProperties>
</file>