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b/>
          <w:bCs/>
          <w:i w:val="false"/>
          <w:iCs w:val="false"/>
          <w:sz w:val="52"/>
          <w:szCs w:val="52"/>
        </w:rPr>
        <w:t xml:space="preserve">              </w:t>
      </w:r>
    </w:p>
    <w:p>
      <w:pPr>
        <w:pStyle w:val="style0"/>
      </w:pPr>
      <w:r>
        <w:rPr>
          <w:b/>
          <w:bCs/>
          <w:i w:val="false"/>
          <w:iCs w:val="false"/>
          <w:sz w:val="52"/>
          <w:szCs w:val="52"/>
        </w:rPr>
        <w:t xml:space="preserve">                  </w:t>
      </w:r>
      <w:r>
        <w:rPr>
          <w:b/>
          <w:bCs/>
          <w:i w:val="false"/>
          <w:iCs w:val="false"/>
          <w:sz w:val="52"/>
          <w:szCs w:val="52"/>
        </w:rPr>
        <w:t>Засоби   реалізації</w:t>
      </w:r>
    </w:p>
    <w:p>
      <w:pPr>
        <w:pStyle w:val="style0"/>
      </w:pPr>
      <w:r>
        <w:rPr>
          <w:b/>
          <w:bCs/>
          <w:i w:val="false"/>
          <w:iCs w:val="false"/>
          <w:sz w:val="52"/>
          <w:szCs w:val="52"/>
        </w:rPr>
        <w:t xml:space="preserve">    </w:t>
      </w:r>
      <w:r>
        <w:rPr>
          <w:b/>
          <w:bCs/>
          <w:i w:val="false"/>
          <w:iCs w:val="false"/>
          <w:sz w:val="52"/>
          <w:szCs w:val="52"/>
        </w:rPr>
        <w:t>сенсорного    виховання   в   системі</w:t>
      </w:r>
    </w:p>
    <w:p>
      <w:pPr>
        <w:pStyle w:val="style0"/>
      </w:pPr>
      <w:r>
        <w:rPr>
          <w:b/>
          <w:bCs/>
          <w:i w:val="false"/>
          <w:iCs w:val="false"/>
          <w:sz w:val="52"/>
          <w:szCs w:val="52"/>
        </w:rPr>
        <w:t xml:space="preserve">      </w:t>
      </w:r>
      <w:r>
        <w:rPr>
          <w:b/>
          <w:bCs/>
          <w:i w:val="false"/>
          <w:iCs w:val="false"/>
          <w:sz w:val="52"/>
          <w:szCs w:val="52"/>
        </w:rPr>
        <w:t>навчально-виховної    діяльності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bCs w:val="false"/>
          <w:i w:val="false"/>
          <w:iCs w:val="false"/>
          <w:sz w:val="52"/>
          <w:szCs w:val="52"/>
        </w:rPr>
        <w:t>- Спостереження,   екскурсії</w:t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bCs w:val="false"/>
          <w:i w:val="false"/>
          <w:iCs w:val="false"/>
          <w:sz w:val="52"/>
          <w:szCs w:val="52"/>
        </w:rPr>
        <w:t>- Сюжетно-рольові    ігри</w:t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bCs w:val="false"/>
          <w:i w:val="false"/>
          <w:iCs w:val="false"/>
          <w:sz w:val="52"/>
          <w:szCs w:val="52"/>
        </w:rPr>
        <w:t>- Дидактичні   ігри   та   вправи</w:t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bCs w:val="false"/>
          <w:i w:val="false"/>
          <w:iCs w:val="false"/>
          <w:sz w:val="52"/>
          <w:szCs w:val="52"/>
        </w:rPr>
        <w:t>- Пошуково-дослідницька   діяльність</w:t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bCs w:val="false"/>
          <w:i w:val="false"/>
          <w:iCs w:val="false"/>
          <w:sz w:val="52"/>
          <w:szCs w:val="52"/>
        </w:rPr>
        <w:t>- Заняття,   міні-заняття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         </w:t>
      </w:r>
      <w:r>
        <w:rPr>
          <w:b/>
          <w:bCs/>
          <w:sz w:val="52"/>
          <w:szCs w:val="52"/>
        </w:rPr>
        <w:t>Особливості   сенсорного   розвитку</w:t>
      </w:r>
    </w:p>
    <w:p>
      <w:pPr>
        <w:pStyle w:val="style0"/>
      </w:pPr>
      <w:r>
        <w:rPr>
          <w:b/>
          <w:bCs/>
          <w:sz w:val="52"/>
          <w:szCs w:val="52"/>
        </w:rPr>
        <w:t xml:space="preserve">        </w:t>
      </w:r>
      <w:r>
        <w:rPr>
          <w:b/>
          <w:bCs/>
          <w:sz w:val="52"/>
          <w:szCs w:val="52"/>
        </w:rPr>
        <w:t>дітей   у    різні    вікові   періоди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tbl>
      <w:tblPr>
        <w:jc w:val="left"/>
        <w:tblInd w:type="dxa" w:w="53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one"/>
          <w:insideV w:val="none"/>
        </w:tblBorders>
        <w:tblCellMar>
          <w:top w:type="dxa" w:w="55"/>
          <w:left w:type="dxa" w:w="51"/>
          <w:bottom w:type="dxa" w:w="55"/>
          <w:right w:type="dxa" w:w="55"/>
        </w:tblCellMar>
      </w:tblPr>
      <w:tblGrid>
        <w:gridCol w:w="779"/>
        <w:gridCol w:w="2300"/>
        <w:gridCol w:w="6559"/>
      </w:tblGrid>
      <w:tr>
        <w:trPr>
          <w:cantSplit w:val="false"/>
        </w:trPr>
        <w:tc>
          <w:tcPr>
            <w:tcW w:type="dxa" w:w="77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</w:pPr>
            <w:r>
              <w:rPr>
                <w:b/>
                <w:bCs/>
                <w:sz w:val="32"/>
                <w:szCs w:val="32"/>
              </w:rPr>
              <w:t>№</w:t>
            </w:r>
          </w:p>
          <w:p>
            <w:pPr>
              <w:pStyle w:val="style20"/>
            </w:pPr>
            <w:r>
              <w:rPr>
                <w:b/>
                <w:bCs/>
                <w:sz w:val="32"/>
                <w:szCs w:val="32"/>
              </w:rPr>
              <w:t xml:space="preserve">п/п  </w:t>
            </w:r>
          </w:p>
        </w:tc>
        <w:tc>
          <w:tcPr>
            <w:tcW w:type="dxa" w:w="230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jc w:val="both"/>
            </w:pPr>
            <w:r>
              <w:rPr>
                <w:b/>
                <w:bCs/>
                <w:sz w:val="32"/>
                <w:szCs w:val="32"/>
              </w:rPr>
              <w:t xml:space="preserve">    </w:t>
            </w:r>
            <w:r>
              <w:rPr>
                <w:b/>
                <w:bCs/>
                <w:sz w:val="32"/>
                <w:szCs w:val="32"/>
              </w:rPr>
              <w:t>Віковий</w:t>
            </w:r>
          </w:p>
          <w:p>
            <w:pPr>
              <w:pStyle w:val="style20"/>
              <w:jc w:val="both"/>
            </w:pPr>
            <w:r>
              <w:rPr>
                <w:b/>
                <w:bCs/>
                <w:sz w:val="32"/>
                <w:szCs w:val="32"/>
              </w:rPr>
              <w:t xml:space="preserve">      </w:t>
            </w:r>
            <w:r>
              <w:rPr>
                <w:b/>
                <w:bCs/>
                <w:sz w:val="32"/>
                <w:szCs w:val="32"/>
              </w:rPr>
              <w:t>період</w:t>
            </w:r>
          </w:p>
        </w:tc>
        <w:tc>
          <w:tcPr>
            <w:tcW w:type="dxa" w:w="655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</w:pPr>
            <w:r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>Особливості    сенсорного    розвитку</w:t>
            </w:r>
          </w:p>
        </w:tc>
      </w:tr>
      <w:tr>
        <w:trPr>
          <w:cantSplit w:val="false"/>
        </w:trPr>
        <w:tc>
          <w:tcPr>
            <w:tcW w:type="dxa" w:w="779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type="dxa" w:w="2300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</w:pPr>
            <w:r>
              <w:rPr>
                <w:sz w:val="32"/>
                <w:szCs w:val="32"/>
              </w:rPr>
              <w:t>Ранній   вік</w:t>
            </w:r>
          </w:p>
        </w:tc>
        <w:tc>
          <w:tcPr>
            <w:tcW w:type="dxa" w:w="6559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</w:pPr>
            <w:r>
              <w:rPr>
                <w:sz w:val="32"/>
                <w:szCs w:val="32"/>
              </w:rPr>
              <w:t xml:space="preserve">- Складається    новий   тип   зовнішніх орієнтувальних   дій   примірювання,  а </w:t>
            </w:r>
          </w:p>
          <w:p>
            <w:pPr>
              <w:pStyle w:val="style20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пізніше — зорове   співвіднесення   предметів</w:t>
            </w:r>
          </w:p>
          <w:p>
            <w:pPr>
              <w:pStyle w:val="style20"/>
            </w:pPr>
            <w:r>
              <w:rPr>
                <w:sz w:val="32"/>
                <w:szCs w:val="32"/>
              </w:rPr>
              <w:t>за   їхніми   ознаками;</w:t>
            </w:r>
          </w:p>
          <w:p>
            <w:pPr>
              <w:pStyle w:val="style20"/>
            </w:pPr>
            <w:r>
              <w:rPr>
                <w:sz w:val="32"/>
                <w:szCs w:val="32"/>
              </w:rPr>
              <w:t>- з</w:t>
            </w:r>
            <w:r>
              <w:rPr>
                <w:sz w:val="32"/>
                <w:szCs w:val="32"/>
                <w:lang w:val="en-US"/>
              </w:rPr>
              <w:t>'</w:t>
            </w:r>
            <w:r>
              <w:rPr>
                <w:sz w:val="32"/>
                <w:szCs w:val="32"/>
                <w:lang w:val="uk-UA"/>
              </w:rPr>
              <w:t>являється   уявлення   про   властивості</w:t>
            </w:r>
          </w:p>
          <w:p>
            <w:pPr>
              <w:pStyle w:val="style20"/>
            </w:pPr>
            <w:r>
              <w:rPr>
                <w:sz w:val="32"/>
                <w:szCs w:val="32"/>
                <w:lang w:val="uk-UA"/>
              </w:rPr>
              <w:t>предметів;</w:t>
            </w:r>
          </w:p>
          <w:p>
            <w:pPr>
              <w:pStyle w:val="style20"/>
            </w:pPr>
            <w:r>
              <w:rPr>
                <w:sz w:val="32"/>
                <w:szCs w:val="32"/>
                <w:lang w:val="uk-UA"/>
              </w:rPr>
              <w:t xml:space="preserve">- засвоєння   властивостей   предметів визначається   їхньою   значимістю    в </w:t>
            </w:r>
          </w:p>
          <w:p>
            <w:pPr>
              <w:pStyle w:val="style20"/>
            </w:pPr>
            <w:r>
              <w:rPr>
                <w:sz w:val="32"/>
                <w:szCs w:val="32"/>
                <w:lang w:val="uk-UA"/>
              </w:rPr>
              <w:t>практичній    діяльності;</w:t>
            </w:r>
          </w:p>
          <w:p>
            <w:pPr>
              <w:pStyle w:val="style20"/>
            </w:pPr>
            <w:r>
              <w:rPr>
                <w:sz w:val="32"/>
                <w:szCs w:val="32"/>
                <w:lang w:val="uk-UA"/>
              </w:rPr>
              <w:t>- розвиток   фонематичного   слуху, необхідного   для   спілкування   з  дорослим,</w:t>
            </w:r>
          </w:p>
          <w:p>
            <w:pPr>
              <w:pStyle w:val="style20"/>
            </w:pPr>
            <w:r>
              <w:rPr>
                <w:sz w:val="32"/>
                <w:szCs w:val="32"/>
                <w:lang w:val="uk-UA"/>
              </w:rPr>
              <w:t>має   своїм   наслідком   сприйняття  всіх   звуків    рідної    мови.</w:t>
            </w:r>
          </w:p>
        </w:tc>
      </w:tr>
      <w:tr>
        <w:trPr>
          <w:cantSplit w:val="false"/>
        </w:trPr>
        <w:tc>
          <w:tcPr>
            <w:tcW w:type="dxa" w:w="779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type="dxa" w:w="2300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</w:pPr>
            <w:r>
              <w:rPr>
                <w:sz w:val="32"/>
                <w:szCs w:val="32"/>
              </w:rPr>
              <w:t>Молодший</w:t>
            </w:r>
          </w:p>
          <w:p>
            <w:pPr>
              <w:pStyle w:val="style20"/>
            </w:pPr>
            <w:r>
              <w:rPr>
                <w:sz w:val="32"/>
                <w:szCs w:val="32"/>
              </w:rPr>
              <w:t>дошкільний</w:t>
            </w:r>
          </w:p>
          <w:p>
            <w:pPr>
              <w:pStyle w:val="style20"/>
            </w:pPr>
            <w:r>
              <w:rPr>
                <w:sz w:val="32"/>
                <w:szCs w:val="32"/>
              </w:rPr>
              <w:t>вік</w:t>
            </w:r>
          </w:p>
        </w:tc>
        <w:tc>
          <w:tcPr>
            <w:tcW w:type="dxa" w:w="6559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</w:pPr>
            <w:r>
              <w:rPr>
                <w:sz w:val="32"/>
                <w:szCs w:val="32"/>
              </w:rPr>
              <w:t>- Зорове   сприйняття   стає   провідним   під час   ознайомлення   з   навколишнім   світом;</w:t>
            </w:r>
          </w:p>
          <w:p>
            <w:pPr>
              <w:pStyle w:val="style20"/>
            </w:pPr>
            <w:r>
              <w:rPr>
                <w:sz w:val="32"/>
                <w:szCs w:val="32"/>
              </w:rPr>
              <w:t>- засвоюються    сенсорні    еталони;</w:t>
            </w:r>
          </w:p>
          <w:p>
            <w:pPr>
              <w:pStyle w:val="style20"/>
            </w:pPr>
            <w:r>
              <w:rPr>
                <w:sz w:val="32"/>
                <w:szCs w:val="32"/>
              </w:rPr>
              <w:t>- зростає   цілеспрямованість, планомірність,</w:t>
            </w:r>
          </w:p>
          <w:p>
            <w:pPr>
              <w:pStyle w:val="style20"/>
            </w:pPr>
            <w:r>
              <w:rPr>
                <w:sz w:val="32"/>
                <w:szCs w:val="32"/>
              </w:rPr>
              <w:t>керованість,   усвідомленість   сприйняття;</w:t>
            </w:r>
          </w:p>
          <w:p>
            <w:pPr>
              <w:pStyle w:val="style20"/>
            </w:pPr>
            <w:r>
              <w:rPr>
                <w:sz w:val="32"/>
                <w:szCs w:val="32"/>
              </w:rPr>
              <w:t>- з   установленням   взаємозв</w:t>
            </w:r>
            <w:r>
              <w:rPr>
                <w:sz w:val="32"/>
                <w:szCs w:val="32"/>
                <w:lang w:val="en-US"/>
              </w:rPr>
              <w:t>'</w:t>
            </w:r>
            <w:r>
              <w:rPr>
                <w:sz w:val="32"/>
                <w:szCs w:val="32"/>
                <w:lang w:val="uk-UA"/>
              </w:rPr>
              <w:t>язків   із мовленням   і   мисленням    сприйняття   стає</w:t>
            </w:r>
          </w:p>
          <w:p>
            <w:pPr>
              <w:pStyle w:val="style20"/>
            </w:pPr>
            <w:r>
              <w:rPr>
                <w:sz w:val="32"/>
                <w:szCs w:val="32"/>
                <w:lang w:val="uk-UA"/>
              </w:rPr>
              <w:t>інтелектуальним;</w:t>
            </w:r>
          </w:p>
          <w:p>
            <w:pPr>
              <w:pStyle w:val="style20"/>
            </w:pPr>
            <w:r>
              <w:rPr>
                <w:sz w:val="32"/>
                <w:szCs w:val="32"/>
                <w:lang w:val="uk-UA"/>
              </w:rPr>
              <w:t>- сприймання   предмета   чи   явища   тісно</w:t>
            </w:r>
          </w:p>
          <w:p>
            <w:pPr>
              <w:pStyle w:val="style20"/>
            </w:pPr>
            <w:r>
              <w:rPr>
                <w:sz w:val="32"/>
                <w:szCs w:val="32"/>
                <w:lang w:val="uk-UA"/>
              </w:rPr>
              <w:t>пов</w:t>
            </w:r>
            <w:r>
              <w:rPr>
                <w:sz w:val="32"/>
                <w:szCs w:val="32"/>
                <w:lang w:val="en-US"/>
              </w:rPr>
              <w:t>'</w:t>
            </w:r>
            <w:r>
              <w:rPr>
                <w:sz w:val="32"/>
                <w:szCs w:val="32"/>
                <w:lang w:val="uk-UA"/>
              </w:rPr>
              <w:t>язанезі   змістом діяльності   дитини;</w:t>
            </w:r>
          </w:p>
          <w:p>
            <w:pPr>
              <w:pStyle w:val="style20"/>
            </w:pPr>
            <w:r>
              <w:rPr>
                <w:sz w:val="32"/>
                <w:szCs w:val="32"/>
                <w:lang w:val="uk-UA"/>
              </w:rPr>
              <w:t>- намагання  самоствердитися   (“Я   сам”)</w:t>
            </w:r>
          </w:p>
          <w:p>
            <w:pPr>
              <w:pStyle w:val="style20"/>
            </w:pPr>
            <w:r>
              <w:rPr/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</w:rPr>
        <w:t xml:space="preserve">      </w:t>
      </w:r>
      <w:r>
        <w:rPr>
          <w:b/>
          <w:bCs/>
          <w:sz w:val="52"/>
          <w:szCs w:val="52"/>
        </w:rPr>
        <w:t xml:space="preserve">  </w:t>
      </w:r>
      <w:r>
        <w:rPr>
          <w:b/>
          <w:bCs/>
          <w:sz w:val="52"/>
          <w:szCs w:val="52"/>
        </w:rPr>
        <w:t>Використання   дидактичних   ігор</w:t>
      </w:r>
    </w:p>
    <w:p>
      <w:pPr>
        <w:pStyle w:val="style0"/>
      </w:pPr>
      <w:r>
        <w:rPr>
          <w:b/>
          <w:bCs/>
          <w:sz w:val="52"/>
          <w:szCs w:val="52"/>
        </w:rPr>
        <w:t xml:space="preserve">       </w:t>
      </w:r>
      <w:r>
        <w:rPr>
          <w:b/>
          <w:bCs/>
          <w:sz w:val="52"/>
          <w:szCs w:val="52"/>
        </w:rPr>
        <w:t>у   сенсорному   вихованню  дітей</w:t>
      </w:r>
    </w:p>
    <w:p>
      <w:pPr>
        <w:pStyle w:val="style0"/>
      </w:pPr>
      <w:r>
        <w:rPr>
          <w:b/>
          <w:bCs/>
        </w:rPr>
      </w:r>
    </w:p>
    <w:p>
      <w:pPr>
        <w:pStyle w:val="style0"/>
      </w:pPr>
      <w:r>
        <w:rPr>
          <w:b/>
          <w:bCs/>
        </w:rPr>
      </w:r>
    </w:p>
    <w:tbl>
      <w:tblPr>
        <w:tblW w:type="dxa" w:w="9638"/>
        <w:jc w:val="left"/>
        <w:tblInd w:type="dxa" w:w="55"/>
        <w:tblBorders>
          <w:top w:color="000000" w:space="0" w:sz="2" w:val="single"/>
          <w:left w:color="000000" w:space="0" w:sz="2" w:val="single"/>
          <w:bottom w:color="000000" w:space="0" w:sz="2" w:val="single"/>
          <w:insideH w:color="000000" w:space="0" w:sz="2" w:val="single"/>
          <w:right w:val="none"/>
          <w:insideV w:val="none"/>
        </w:tblBorders>
        <w:tblCellMar>
          <w:top w:type="dxa" w:w="55"/>
          <w:left w:type="dxa" w:w="54"/>
          <w:bottom w:type="dxa" w:w="55"/>
          <w:right w:type="dxa" w:w="55"/>
        </w:tblCellMar>
      </w:tblPr>
      <w:tblGrid>
        <w:gridCol w:w="600"/>
        <w:gridCol w:w="2080"/>
        <w:gridCol w:w="3660"/>
        <w:gridCol w:w="3298"/>
      </w:tblGrid>
      <w:tr>
        <w:trPr>
          <w:cantSplit w:val="false"/>
        </w:trPr>
        <w:tc>
          <w:tcPr>
            <w:tcW w:type="dxa" w:w="600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b/>
                <w:bCs/>
                <w:sz w:val="32"/>
                <w:szCs w:val="32"/>
              </w:rPr>
              <w:t>№</w:t>
            </w:r>
          </w:p>
          <w:p>
            <w:pPr>
              <w:pStyle w:val="style20"/>
            </w:pPr>
            <w:r>
              <w:rPr>
                <w:b/>
                <w:bCs/>
                <w:sz w:val="32"/>
                <w:szCs w:val="32"/>
              </w:rPr>
              <w:t>п/п</w:t>
            </w:r>
          </w:p>
        </w:tc>
        <w:tc>
          <w:tcPr>
            <w:tcW w:type="dxa" w:w="2080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>Види   ігор</w:t>
            </w:r>
          </w:p>
        </w:tc>
        <w:tc>
          <w:tcPr>
            <w:tcW w:type="dxa" w:w="3660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/>
              <w:t xml:space="preserve">  </w:t>
            </w:r>
            <w:r>
              <w:rPr>
                <w:b/>
                <w:bCs/>
                <w:sz w:val="32"/>
                <w:szCs w:val="32"/>
              </w:rPr>
              <w:t xml:space="preserve">    </w:t>
            </w:r>
            <w:r>
              <w:rPr>
                <w:b/>
                <w:bCs/>
                <w:sz w:val="32"/>
                <w:szCs w:val="32"/>
              </w:rPr>
              <w:t>Базисна   основа</w:t>
            </w:r>
          </w:p>
        </w:tc>
        <w:tc>
          <w:tcPr>
            <w:tcW w:type="dxa" w:w="3298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/>
              <w:t xml:space="preserve">     </w:t>
            </w:r>
            <w:r>
              <w:rPr>
                <w:b/>
                <w:bCs/>
                <w:sz w:val="32"/>
                <w:szCs w:val="32"/>
              </w:rPr>
              <w:t>Приклади   ігор</w:t>
            </w:r>
          </w:p>
        </w:tc>
      </w:tr>
      <w:tr>
        <w:trPr>
          <w:cantSplit w:val="false"/>
        </w:trPr>
        <w:tc>
          <w:tcPr>
            <w:tcW w:type="dxa" w:w="600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type="dxa" w:w="2080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b/>
                <w:bCs/>
                <w:sz w:val="32"/>
                <w:szCs w:val="32"/>
              </w:rPr>
              <w:t>Ігри-доручення</w:t>
            </w:r>
          </w:p>
        </w:tc>
        <w:tc>
          <w:tcPr>
            <w:tcW w:type="dxa" w:w="3660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8"/>
                <w:szCs w:val="28"/>
              </w:rPr>
              <w:t>Засвоються   на  інтересі дітей   до  дій   з  іграшками та  предметами:   дібрати,</w:t>
            </w:r>
          </w:p>
          <w:p>
            <w:pPr>
              <w:pStyle w:val="style20"/>
            </w:pPr>
            <w:r>
              <w:rPr>
                <w:sz w:val="28"/>
                <w:szCs w:val="28"/>
              </w:rPr>
              <w:t xml:space="preserve">скласти   або   розкласти, </w:t>
            </w:r>
          </w:p>
          <w:p>
            <w:pPr>
              <w:pStyle w:val="style20"/>
            </w:pPr>
            <w:r>
              <w:rPr>
                <w:sz w:val="28"/>
                <w:szCs w:val="28"/>
              </w:rPr>
              <w:t>нанизати</w:t>
            </w:r>
          </w:p>
        </w:tc>
        <w:tc>
          <w:tcPr>
            <w:tcW w:type="dxa" w:w="3298"/>
            <w:tcBorders>
              <w:top w:val="non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Допоможи    метеликові”,</w:t>
            </w:r>
          </w:p>
          <w:p>
            <w:pPr>
              <w:pStyle w:val="style20"/>
            </w:pP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Добери   предмети одного   кольору”, “Допоможи   півникові”,</w:t>
            </w:r>
          </w:p>
          <w:p>
            <w:pPr>
              <w:pStyle w:val="style20"/>
            </w:pP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Одягни    ляльку”,</w:t>
            </w:r>
          </w:p>
          <w:p>
            <w:pPr>
              <w:pStyle w:val="style20"/>
            </w:pP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Прикрась   ляльці   плаття”</w:t>
            </w:r>
          </w:p>
        </w:tc>
      </w:tr>
      <w:tr>
        <w:trPr>
          <w:cantSplit w:val="false"/>
        </w:trPr>
        <w:tc>
          <w:tcPr>
            <w:tcW w:type="dxa" w:w="600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type="dxa" w:w="2080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b/>
                <w:bCs/>
                <w:sz w:val="32"/>
                <w:szCs w:val="32"/>
              </w:rPr>
              <w:t>Ігри  з  хованням   та   пошуком</w:t>
            </w:r>
          </w:p>
        </w:tc>
        <w:tc>
          <w:tcPr>
            <w:tcW w:type="dxa" w:w="3660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8"/>
                <w:szCs w:val="28"/>
              </w:rPr>
              <w:t>Базується   на  інтересі дітей   до   непередбаченої появи   та   зникнення предметів,  їх   пошуку  й</w:t>
            </w:r>
          </w:p>
          <w:p>
            <w:pPr>
              <w:pStyle w:val="style20"/>
            </w:pPr>
            <w:r>
              <w:rPr>
                <w:sz w:val="28"/>
                <w:szCs w:val="28"/>
              </w:rPr>
              <w:t>знаходження</w:t>
            </w:r>
          </w:p>
        </w:tc>
        <w:tc>
          <w:tcPr>
            <w:tcW w:type="dxa" w:w="3298"/>
            <w:tcBorders>
              <w:top w:val="non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Який   предмет   зайвий”,</w:t>
            </w:r>
          </w:p>
          <w:p>
            <w:pPr>
              <w:pStyle w:val="style20"/>
            </w:pP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Що   дзвенить?”,</w:t>
            </w:r>
          </w:p>
          <w:p>
            <w:pPr>
              <w:pStyle w:val="style20"/>
            </w:pP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Добери   колеса   до машини”,</w:t>
            </w:r>
          </w:p>
          <w:p>
            <w:pPr>
              <w:pStyle w:val="style20"/>
            </w:pP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Знайди    таку   саму   стрічку”,   “Знайди   таку   саму   іграшку”</w:t>
            </w:r>
          </w:p>
        </w:tc>
      </w:tr>
      <w:tr>
        <w:trPr>
          <w:trHeight w:hRule="atLeast" w:val="2163"/>
          <w:cantSplit w:val="false"/>
        </w:trPr>
        <w:tc>
          <w:tcPr>
            <w:tcW w:type="dxa" w:w="600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type="dxa" w:w="2080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b/>
                <w:bCs/>
                <w:sz w:val="32"/>
                <w:szCs w:val="32"/>
              </w:rPr>
              <w:t>Ігри  із   за-</w:t>
            </w:r>
          </w:p>
          <w:p>
            <w:pPr>
              <w:pStyle w:val="style20"/>
            </w:pPr>
            <w:r>
              <w:rPr>
                <w:b/>
                <w:bCs/>
                <w:sz w:val="32"/>
                <w:szCs w:val="32"/>
              </w:rPr>
              <w:t>гадуванням</w:t>
            </w:r>
          </w:p>
          <w:p>
            <w:pPr>
              <w:pStyle w:val="style20"/>
            </w:pPr>
            <w:r>
              <w:rPr>
                <w:b/>
                <w:bCs/>
                <w:sz w:val="32"/>
                <w:szCs w:val="32"/>
              </w:rPr>
              <w:t>та  відгадуван-</w:t>
            </w:r>
          </w:p>
          <w:p>
            <w:pPr>
              <w:pStyle w:val="style20"/>
            </w:pPr>
            <w:r>
              <w:rPr>
                <w:b/>
                <w:bCs/>
                <w:sz w:val="32"/>
                <w:szCs w:val="32"/>
              </w:rPr>
              <w:t>ням</w:t>
            </w:r>
          </w:p>
        </w:tc>
        <w:tc>
          <w:tcPr>
            <w:tcW w:type="dxa" w:w="3660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8"/>
                <w:szCs w:val="28"/>
              </w:rPr>
              <w:t xml:space="preserve">Приваблюють   дітей   </w:t>
            </w:r>
          </w:p>
          <w:p>
            <w:pPr>
              <w:pStyle w:val="style20"/>
            </w:pPr>
            <w:r>
              <w:rPr>
                <w:sz w:val="28"/>
                <w:szCs w:val="28"/>
              </w:rPr>
              <w:t>невідомістю,  таємничістю</w:t>
            </w:r>
          </w:p>
        </w:tc>
        <w:tc>
          <w:tcPr>
            <w:tcW w:type="dxa" w:w="3298"/>
            <w:tcBorders>
              <w:top w:val="non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Відгадай”,   “Що змінилося?”,   “</w:t>
            </w:r>
            <w:r>
              <w:rPr>
                <w:sz w:val="28"/>
                <w:szCs w:val="28"/>
              </w:rPr>
              <w:t>Що  тут?”,</w:t>
            </w:r>
          </w:p>
          <w:p>
            <w:pPr>
              <w:pStyle w:val="style20"/>
            </w:pP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Назви   колір”,  “Збери</w:t>
            </w:r>
          </w:p>
          <w:p>
            <w:pPr>
              <w:pStyle w:val="style20"/>
            </w:pPr>
            <w:r>
              <w:rPr>
                <w:sz w:val="28"/>
                <w:szCs w:val="28"/>
              </w:rPr>
              <w:t>квітку”,   ігри-пазли</w:t>
            </w:r>
          </w:p>
          <w:p>
            <w:pPr>
              <w:pStyle w:val="style20"/>
            </w:pPr>
            <w:r>
              <w:rPr>
                <w:sz w:val="28"/>
                <w:szCs w:val="28"/>
              </w:rPr>
            </w:r>
          </w:p>
          <w:p>
            <w:pPr>
              <w:pStyle w:val="style20"/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600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type="dxa" w:w="2080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b/>
                <w:bCs/>
                <w:sz w:val="32"/>
                <w:szCs w:val="32"/>
              </w:rPr>
              <w:t>Дидактичні</w:t>
            </w:r>
          </w:p>
          <w:p>
            <w:pPr>
              <w:pStyle w:val="style20"/>
            </w:pPr>
            <w:r>
              <w:rPr>
                <w:b/>
                <w:bCs/>
                <w:sz w:val="32"/>
                <w:szCs w:val="32"/>
              </w:rPr>
              <w:t>ігри   та</w:t>
            </w:r>
          </w:p>
          <w:p>
            <w:pPr>
              <w:pStyle w:val="style20"/>
            </w:pPr>
            <w:r>
              <w:rPr>
                <w:b/>
                <w:bCs/>
                <w:sz w:val="32"/>
                <w:szCs w:val="32"/>
              </w:rPr>
              <w:t>сюжетно-рольові</w:t>
            </w:r>
          </w:p>
        </w:tc>
        <w:tc>
          <w:tcPr>
            <w:tcW w:type="dxa" w:w="3660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8"/>
                <w:szCs w:val="28"/>
              </w:rPr>
              <w:t>Ігрова   дія   полягає  в зображенні   різноманітних</w:t>
            </w:r>
          </w:p>
          <w:p>
            <w:pPr>
              <w:pStyle w:val="style20"/>
            </w:pPr>
            <w:r>
              <w:rPr>
                <w:sz w:val="28"/>
                <w:szCs w:val="28"/>
              </w:rPr>
              <w:t>життєвих   ситуацій,   у   виконанні    ролей   дорослих</w:t>
            </w:r>
          </w:p>
        </w:tc>
        <w:tc>
          <w:tcPr>
            <w:tcW w:type="dxa" w:w="3298"/>
            <w:tcBorders>
              <w:top w:val="non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Урятуй   метеликів”,</w:t>
            </w:r>
          </w:p>
          <w:p>
            <w:pPr>
              <w:pStyle w:val="style20"/>
            </w:pP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Ляльки-неваляйки”,</w:t>
            </w:r>
          </w:p>
          <w:p>
            <w:pPr>
              <w:pStyle w:val="style20"/>
            </w:pP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Веселі    сніговички”</w:t>
            </w:r>
          </w:p>
        </w:tc>
      </w:tr>
      <w:tr>
        <w:trPr>
          <w:cantSplit w:val="false"/>
        </w:trPr>
        <w:tc>
          <w:tcPr>
            <w:tcW w:type="dxa" w:w="600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type="dxa" w:w="2080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b/>
                <w:bCs/>
                <w:sz w:val="32"/>
                <w:szCs w:val="32"/>
              </w:rPr>
              <w:t>Ігри-</w:t>
            </w:r>
          </w:p>
          <w:p>
            <w:pPr>
              <w:pStyle w:val="style20"/>
            </w:pPr>
            <w:r>
              <w:rPr>
                <w:b/>
                <w:bCs/>
                <w:sz w:val="32"/>
                <w:szCs w:val="32"/>
              </w:rPr>
              <w:t>змагання</w:t>
            </w:r>
          </w:p>
        </w:tc>
        <w:tc>
          <w:tcPr>
            <w:tcW w:type="dxa" w:w="3660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8"/>
                <w:szCs w:val="28"/>
              </w:rPr>
              <w:t>Базуються   на   бажанні   дітей  швидше   досягти   ігрового   результату,   перемогти</w:t>
            </w:r>
          </w:p>
        </w:tc>
        <w:tc>
          <w:tcPr>
            <w:tcW w:type="dxa" w:w="3298"/>
            <w:tcBorders>
              <w:top w:val="non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</w:pP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Хто   перший   збере пірамідку?”,</w:t>
            </w:r>
          </w:p>
          <w:p>
            <w:pPr>
              <w:pStyle w:val="style20"/>
            </w:pP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Хто   швидше  знайде предмет   того  кольору,</w:t>
            </w:r>
          </w:p>
          <w:p>
            <w:pPr>
              <w:pStyle w:val="style20"/>
            </w:pPr>
            <w:r>
              <w:rPr>
                <w:sz w:val="28"/>
                <w:szCs w:val="28"/>
              </w:rPr>
              <w:t>який   я   назву”.</w:t>
            </w:r>
          </w:p>
          <w:p>
            <w:pPr>
              <w:pStyle w:val="style20"/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style0"/>
      </w:pPr>
      <w:r>
        <w:rPr>
          <w:b/>
          <w:bCs/>
        </w:rPr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uk-UA"/>
    </w:rPr>
  </w:style>
  <w:style w:styleId="style15" w:type="paragraph">
    <w:name w:val="Заголовок"/>
    <w:basedOn w:val="style0"/>
    <w:next w:val="style1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  <w:contextualSpacing w:val="false"/>
    </w:pPr>
    <w:rPr/>
  </w:style>
  <w:style w:styleId="style17" w:type="paragraph">
    <w:name w:val="Список"/>
    <w:basedOn w:val="style16"/>
    <w:next w:val="style17"/>
    <w:pPr/>
    <w:rPr>
      <w:rFonts w:cs="Mangal"/>
    </w:rPr>
  </w:style>
  <w:style w:styleId="style18" w:type="paragraph">
    <w:name w:val="Название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Mangal"/>
    </w:rPr>
  </w:style>
  <w:style w:styleId="style20" w:type="paragraph">
    <w:name w:val="Содержимое таблицы"/>
    <w:basedOn w:val="style0"/>
    <w:next w:val="style20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2014-12-04T19:47:07.30Z</dcterms:created>
  <cp:revision>0</cp:revision>
</cp:coreProperties>
</file>