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</w:p>
    <w:p w:rsidR="001D2C91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  <w:r>
        <w:rPr>
          <w:rFonts w:asciiTheme="majorHAnsi" w:hAnsiTheme="majorHAnsi"/>
          <w:b/>
          <w:i/>
          <w:sz w:val="180"/>
          <w:szCs w:val="180"/>
          <w:lang w:val="uk-UA"/>
        </w:rPr>
        <w:t>«</w:t>
      </w:r>
      <w:r w:rsidRPr="00F248FE">
        <w:rPr>
          <w:rFonts w:asciiTheme="majorHAnsi" w:hAnsiTheme="majorHAnsi"/>
          <w:b/>
          <w:i/>
          <w:sz w:val="180"/>
          <w:szCs w:val="180"/>
          <w:lang w:val="uk-UA"/>
        </w:rPr>
        <w:t>Не думкам потрібно вчити, а думати</w:t>
      </w:r>
      <w:r>
        <w:rPr>
          <w:rFonts w:asciiTheme="majorHAnsi" w:hAnsiTheme="majorHAnsi"/>
          <w:b/>
          <w:i/>
          <w:sz w:val="180"/>
          <w:szCs w:val="180"/>
          <w:lang w:val="uk-UA"/>
        </w:rPr>
        <w:t>»</w:t>
      </w: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  <w:r>
        <w:rPr>
          <w:rFonts w:asciiTheme="majorHAnsi" w:hAnsiTheme="majorHAnsi"/>
          <w:b/>
          <w:i/>
          <w:sz w:val="180"/>
          <w:szCs w:val="180"/>
          <w:lang w:val="uk-UA"/>
        </w:rPr>
        <w:t>«Велич людини в її здатності мислити»</w:t>
      </w: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  <w:r>
        <w:rPr>
          <w:rFonts w:asciiTheme="majorHAnsi" w:hAnsiTheme="majorHAnsi"/>
          <w:b/>
          <w:i/>
          <w:sz w:val="180"/>
          <w:szCs w:val="180"/>
          <w:lang w:val="uk-UA"/>
        </w:rPr>
        <w:lastRenderedPageBreak/>
        <w:t>«Математика – це мова, якою розмовляють всі точні науки»</w:t>
      </w: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  <w:r>
        <w:rPr>
          <w:rFonts w:asciiTheme="majorHAnsi" w:hAnsiTheme="majorHAnsi"/>
          <w:b/>
          <w:i/>
          <w:sz w:val="180"/>
          <w:szCs w:val="180"/>
          <w:lang w:val="uk-UA"/>
        </w:rPr>
        <w:lastRenderedPageBreak/>
        <w:t>«В математиці є своя краса, як в живописі і в поезії»</w:t>
      </w: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80"/>
          <w:szCs w:val="180"/>
          <w:lang w:val="uk-UA"/>
        </w:rPr>
      </w:pPr>
      <w:r>
        <w:rPr>
          <w:rFonts w:asciiTheme="majorHAnsi" w:hAnsiTheme="majorHAnsi"/>
          <w:b/>
          <w:i/>
          <w:sz w:val="180"/>
          <w:szCs w:val="180"/>
          <w:lang w:val="uk-UA"/>
        </w:rPr>
        <w:lastRenderedPageBreak/>
        <w:t>«Математика – це мова, якою написана книга природи»</w:t>
      </w:r>
    </w:p>
    <w:p w:rsidR="00F248FE" w:rsidRDefault="00F248FE" w:rsidP="00F248FE">
      <w:pPr>
        <w:jc w:val="center"/>
        <w:rPr>
          <w:rFonts w:asciiTheme="majorHAnsi" w:hAnsiTheme="majorHAnsi"/>
          <w:b/>
          <w:i/>
          <w:sz w:val="144"/>
          <w:szCs w:val="144"/>
          <w:lang w:val="uk-UA"/>
        </w:rPr>
      </w:pPr>
      <w:r w:rsidRPr="00F248FE">
        <w:rPr>
          <w:rFonts w:asciiTheme="majorHAnsi" w:hAnsiTheme="majorHAnsi"/>
          <w:b/>
          <w:i/>
          <w:sz w:val="144"/>
          <w:szCs w:val="144"/>
          <w:lang w:val="uk-UA"/>
        </w:rPr>
        <w:lastRenderedPageBreak/>
        <w:t>«Математику вже тому вчити потрібно, що вона розум в порядок приводить»</w:t>
      </w:r>
    </w:p>
    <w:tbl>
      <w:tblPr>
        <w:tblStyle w:val="a3"/>
        <w:tblW w:w="15559" w:type="dxa"/>
        <w:tblLook w:val="04A0"/>
      </w:tblPr>
      <w:tblGrid>
        <w:gridCol w:w="7835"/>
        <w:gridCol w:w="2008"/>
        <w:gridCol w:w="5366"/>
        <w:gridCol w:w="350"/>
      </w:tblGrid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lastRenderedPageBreak/>
              <w:t>«Математику вже тому вчити потрібно, що вона розум в порядок приводить»</w:t>
            </w: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«Математика – це мова, якою написана книга природи»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«В математиці є своя краса, як в живописі і в поезії»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«Математика – це мова, якою розмовляють всі точні науки»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«Велич людини в її здатності мислити»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«Не думкам потрібно вчити, а думати»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F248FE" w:rsidTr="00A4685A">
        <w:trPr>
          <w:gridAfter w:val="1"/>
          <w:trHeight w:hRule="exact" w:val="1701"/>
        </w:trPr>
        <w:tc>
          <w:tcPr>
            <w:tcW w:w="10031" w:type="dxa"/>
            <w:gridSpan w:val="2"/>
          </w:tcPr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  <w:r w:rsidRPr="00A4685A"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  <w:t>«Математика – це мова, якою розмовляють всі точні науки»</w:t>
            </w:r>
          </w:p>
          <w:p w:rsidR="00F248FE" w:rsidRPr="00A4685A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5528" w:type="dxa"/>
          </w:tcPr>
          <w:p w:rsidR="00F248FE" w:rsidRDefault="00F248FE" w:rsidP="00F248FE">
            <w:pPr>
              <w:jc w:val="center"/>
              <w:rPr>
                <w:rFonts w:asciiTheme="majorHAnsi" w:hAnsiTheme="majorHAnsi"/>
                <w:b/>
                <w:i/>
                <w:sz w:val="144"/>
                <w:szCs w:val="144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lastRenderedPageBreak/>
              <w:t>М.Ломоносов</w:t>
            </w:r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Г.Галілей</w:t>
            </w:r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Н.Жуковський</w:t>
            </w:r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Н.</w:t>
            </w:r>
            <w:proofErr w:type="spellStart"/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Лобачевський</w:t>
            </w:r>
            <w:proofErr w:type="spellEnd"/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Б.Паскаль</w:t>
            </w:r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  <w:tr w:rsidR="00A4685A" w:rsidTr="00A4685A">
        <w:tc>
          <w:tcPr>
            <w:tcW w:w="7960" w:type="dxa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  <w:t>І.Кант</w:t>
            </w:r>
          </w:p>
        </w:tc>
        <w:tc>
          <w:tcPr>
            <w:tcW w:w="7960" w:type="dxa"/>
            <w:gridSpan w:val="3"/>
          </w:tcPr>
          <w:p w:rsidR="00A4685A" w:rsidRDefault="00A4685A" w:rsidP="00F248FE">
            <w:pPr>
              <w:jc w:val="center"/>
              <w:rPr>
                <w:rFonts w:asciiTheme="majorHAnsi" w:hAnsiTheme="majorHAnsi"/>
                <w:b/>
                <w:i/>
                <w:sz w:val="48"/>
                <w:szCs w:val="48"/>
                <w:lang w:val="uk-UA"/>
              </w:rPr>
            </w:pPr>
          </w:p>
        </w:tc>
      </w:tr>
    </w:tbl>
    <w:p w:rsidR="00F248FE" w:rsidRPr="00A4685A" w:rsidRDefault="00F248FE" w:rsidP="00F248FE">
      <w:pPr>
        <w:jc w:val="center"/>
        <w:rPr>
          <w:rFonts w:asciiTheme="majorHAnsi" w:hAnsiTheme="majorHAnsi"/>
          <w:b/>
          <w:i/>
          <w:sz w:val="48"/>
          <w:szCs w:val="48"/>
          <w:lang w:val="uk-UA"/>
        </w:rPr>
      </w:pPr>
    </w:p>
    <w:sectPr w:rsidR="00F248FE" w:rsidRPr="00A4685A" w:rsidSect="00F248F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8FE"/>
    <w:rsid w:val="001D2C91"/>
    <w:rsid w:val="00A4685A"/>
    <w:rsid w:val="00F2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2010-03-02T23:54:00Z</dcterms:created>
  <dcterms:modified xsi:type="dcterms:W3CDTF">2010-03-03T00:08:00Z</dcterms:modified>
</cp:coreProperties>
</file>