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6C" w:rsidRPr="00815EC4" w:rsidRDefault="000D426C" w:rsidP="00815EC4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Методичні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рекомендації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щодо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проведення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обласного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флеш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-мобу «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Квіти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пам’яті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»,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присвяченого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70-ій </w:t>
      </w:r>
      <w:proofErr w:type="spellStart"/>
      <w:proofErr w:type="gram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р</w:t>
      </w:r>
      <w:proofErr w:type="gram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ічниці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Перемоги над нацизмом у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Європі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та 70-ій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річниці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завершення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Другої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світової</w:t>
      </w:r>
      <w:proofErr w:type="spellEnd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color w:val="C00000"/>
          <w:sz w:val="36"/>
          <w:szCs w:val="36"/>
        </w:rPr>
        <w:t>війни</w:t>
      </w:r>
      <w:proofErr w:type="spellEnd"/>
    </w:p>
    <w:p w:rsidR="000D426C" w:rsidRPr="000D426C" w:rsidRDefault="00815EC4" w:rsidP="000D426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FE6CA60" wp14:editId="23EE8A30">
            <wp:extent cx="3318846" cy="2411128"/>
            <wp:effectExtent l="0" t="0" r="0" b="8255"/>
            <wp:docPr id="1" name="Рисунок 1" descr="20140507152641_1462356246_468x340_3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40507152641_1462356246_468x340_3_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446" cy="24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26C" w:rsidRPr="00815EC4" w:rsidRDefault="000D426C" w:rsidP="00815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C4">
        <w:rPr>
          <w:rFonts w:ascii="Times New Roman" w:hAnsi="Times New Roman" w:cs="Times New Roman"/>
          <w:sz w:val="28"/>
          <w:szCs w:val="28"/>
        </w:rPr>
        <w:t>На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Указу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Президента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15EC4">
        <w:rPr>
          <w:rFonts w:ascii="Times New Roman" w:hAnsi="Times New Roman" w:cs="Times New Roman"/>
          <w:sz w:val="28"/>
          <w:szCs w:val="28"/>
        </w:rPr>
        <w:t>Про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заходи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з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у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2015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70-</w:t>
      </w:r>
      <w:r w:rsidRPr="00815EC4">
        <w:rPr>
          <w:rFonts w:ascii="Times New Roman" w:hAnsi="Times New Roman" w:cs="Times New Roman"/>
          <w:sz w:val="28"/>
          <w:szCs w:val="28"/>
        </w:rPr>
        <w:t>ї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ічниці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Перемоги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над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нацизмом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у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та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70-</w:t>
      </w:r>
      <w:r w:rsidRPr="00815EC4">
        <w:rPr>
          <w:rFonts w:ascii="Times New Roman" w:hAnsi="Times New Roman" w:cs="Times New Roman"/>
          <w:sz w:val="28"/>
          <w:szCs w:val="28"/>
        </w:rPr>
        <w:t>ї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річниці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815EC4">
        <w:rPr>
          <w:rFonts w:ascii="Times New Roman" w:hAnsi="Times New Roman" w:cs="Times New Roman"/>
          <w:sz w:val="28"/>
          <w:szCs w:val="28"/>
        </w:rPr>
        <w:t>та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Закону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15EC4">
        <w:rPr>
          <w:rFonts w:ascii="Times New Roman" w:hAnsi="Times New Roman" w:cs="Times New Roman"/>
          <w:sz w:val="28"/>
          <w:szCs w:val="28"/>
        </w:rPr>
        <w:t>Про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увічнення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перемоги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над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нацизмом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у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1939–1945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розроблених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інститутом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яті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15EC4">
        <w:rPr>
          <w:rFonts w:ascii="Times New Roman" w:hAnsi="Times New Roman" w:cs="Times New Roman"/>
          <w:sz w:val="28"/>
          <w:szCs w:val="28"/>
        </w:rPr>
        <w:t>планом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іслядипломної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15EC4">
        <w:rPr>
          <w:rFonts w:ascii="Times New Roman" w:hAnsi="Times New Roman" w:cs="Times New Roman"/>
          <w:sz w:val="28"/>
          <w:szCs w:val="28"/>
        </w:rPr>
        <w:t>про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15EC4">
        <w:rPr>
          <w:rFonts w:ascii="Times New Roman" w:hAnsi="Times New Roman" w:cs="Times New Roman"/>
          <w:sz w:val="28"/>
          <w:szCs w:val="28"/>
        </w:rPr>
        <w:t>мобу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яті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»  </w:t>
      </w:r>
      <w:r w:rsidRPr="00815EC4">
        <w:rPr>
          <w:rFonts w:ascii="Times New Roman" w:hAnsi="Times New Roman" w:cs="Times New Roman"/>
          <w:sz w:val="28"/>
          <w:szCs w:val="28"/>
        </w:rPr>
        <w:t>та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15EC4">
        <w:rPr>
          <w:rFonts w:ascii="Times New Roman" w:hAnsi="Times New Roman" w:cs="Times New Roman"/>
          <w:sz w:val="28"/>
          <w:szCs w:val="28"/>
        </w:rPr>
        <w:t>на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кращу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символ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полеглим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у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мак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», 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рекомендуємо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8-9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2015 </w:t>
      </w:r>
      <w:r w:rsidRPr="00815EC4">
        <w:rPr>
          <w:rFonts w:ascii="Times New Roman" w:hAnsi="Times New Roman" w:cs="Times New Roman"/>
          <w:sz w:val="28"/>
          <w:szCs w:val="28"/>
        </w:rPr>
        <w:t>року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у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та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позашкільних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закладах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провести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благодійно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меморіальну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акцію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15EC4">
        <w:rPr>
          <w:rFonts w:ascii="Times New Roman" w:hAnsi="Times New Roman" w:cs="Times New Roman"/>
          <w:sz w:val="28"/>
          <w:szCs w:val="28"/>
        </w:rPr>
        <w:t>Маки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яті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815EC4">
        <w:rPr>
          <w:rFonts w:ascii="Times New Roman" w:hAnsi="Times New Roman" w:cs="Times New Roman"/>
          <w:sz w:val="28"/>
          <w:szCs w:val="28"/>
        </w:rPr>
        <w:t>яка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масове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та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продаж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штучних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маків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з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передачею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зібраних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на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потреби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поранених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в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АТО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з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маків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- http://kollekcija.com/master-klass-mak-iz-gofrirovannoy-bum/), </w:t>
      </w:r>
      <w:r w:rsidRPr="00815EC4">
        <w:rPr>
          <w:rFonts w:ascii="Times New Roman" w:hAnsi="Times New Roman" w:cs="Times New Roman"/>
          <w:sz w:val="28"/>
          <w:szCs w:val="28"/>
        </w:rPr>
        <w:t>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15EC4">
        <w:rPr>
          <w:rFonts w:ascii="Times New Roman" w:hAnsi="Times New Roman" w:cs="Times New Roman"/>
          <w:sz w:val="28"/>
          <w:szCs w:val="28"/>
        </w:rPr>
        <w:t>моб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яті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час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роздавати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на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власноруч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виготовлені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стилізовані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маки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з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івій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грудей,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>.</w:t>
      </w:r>
    </w:p>
    <w:p w:rsidR="000D426C" w:rsidRPr="00815EC4" w:rsidRDefault="000D426C" w:rsidP="00815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дизайнер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Мішакін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автор одного з проекту маку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ділиться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думкою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«сама по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маку схожа на рану, і коли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чіпляєш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на себе — то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примірити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постріл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lastRenderedPageBreak/>
        <w:t>цього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причетний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куля.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чіпляєш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як знак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солідарності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» (http://life.pravda.com.ua/society/2014/05/5/166936/). </w:t>
      </w:r>
    </w:p>
    <w:p w:rsidR="000D426C" w:rsidRPr="00815EC4" w:rsidRDefault="000D426C" w:rsidP="00815EC4">
      <w:pPr>
        <w:jc w:val="both"/>
        <w:rPr>
          <w:rFonts w:ascii="Times New Roman" w:hAnsi="Times New Roman" w:cs="Times New Roman"/>
          <w:sz w:val="28"/>
          <w:szCs w:val="28"/>
        </w:rPr>
      </w:pPr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r w:rsidR="00815EC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маків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на великих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площинах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біг-бордах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сіт</w:t>
      </w:r>
      <w:proofErr w:type="gramStart"/>
      <w:r w:rsidRPr="00815EC4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лайтах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стелах,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дошках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носіях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оздоблень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залів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організаторів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гідної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пошани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символу.</w:t>
      </w:r>
    </w:p>
    <w:p w:rsidR="000D426C" w:rsidRPr="00815EC4" w:rsidRDefault="000D426C" w:rsidP="00815E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15EC4">
        <w:rPr>
          <w:rFonts w:ascii="Times New Roman" w:hAnsi="Times New Roman" w:cs="Times New Roman"/>
          <w:b/>
          <w:i/>
          <w:sz w:val="28"/>
          <w:szCs w:val="28"/>
        </w:rPr>
        <w:t>Квітка</w:t>
      </w:r>
      <w:proofErr w:type="spellEnd"/>
      <w:r w:rsidRPr="00815EC4">
        <w:rPr>
          <w:rFonts w:ascii="Times New Roman" w:hAnsi="Times New Roman" w:cs="Times New Roman"/>
          <w:b/>
          <w:i/>
          <w:sz w:val="28"/>
          <w:szCs w:val="28"/>
        </w:rPr>
        <w:t xml:space="preserve"> маку в </w:t>
      </w:r>
      <w:proofErr w:type="spellStart"/>
      <w:r w:rsidRPr="00815EC4">
        <w:rPr>
          <w:rFonts w:ascii="Times New Roman" w:hAnsi="Times New Roman" w:cs="Times New Roman"/>
          <w:b/>
          <w:i/>
          <w:sz w:val="28"/>
          <w:szCs w:val="28"/>
        </w:rPr>
        <w:t>українські</w:t>
      </w:r>
      <w:proofErr w:type="spellEnd"/>
      <w:r w:rsidRPr="00815E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sz w:val="28"/>
          <w:szCs w:val="28"/>
        </w:rPr>
        <w:t>традиції</w:t>
      </w:r>
      <w:proofErr w:type="spellEnd"/>
    </w:p>
    <w:p w:rsidR="000D426C" w:rsidRPr="00815EC4" w:rsidRDefault="000D426C" w:rsidP="00815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E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міфології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символ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безкінечності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життєвої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скороминущості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пишної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сну,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отрути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оберегу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нечистої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хлопця-козака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перелічених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згадується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існях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та думах, особливо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козацької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: "Ой, з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видно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долини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сизокрилий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орел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прол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ітає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військо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славне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Запорізьке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–  як мак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процвітає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...". 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відомій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"Ой,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Морозенку,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славний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козаче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", мак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згадується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смертю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: "…Обступили Морозенка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турецькі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тім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запорожці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покопали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шанці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; Ой,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впіймали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Морозенка 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неділю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Ой, недаром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ранесенько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той мак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розпускався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– Ой, уже наш Морозенко </w:t>
      </w:r>
      <w:proofErr w:type="gramStart"/>
      <w:r w:rsidRPr="00815EC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 xml:space="preserve"> неволю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попався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…". Образ маку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символізує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героїчно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боронячи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>.</w:t>
      </w:r>
    </w:p>
    <w:p w:rsidR="000D426C" w:rsidRPr="00815EC4" w:rsidRDefault="000D426C" w:rsidP="00815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EC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 як символ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війною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військом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перейшов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художню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Франка:  "Гей,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815EC4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красен мак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цвіте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! Кому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прикре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EC4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діло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Нам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Start"/>
      <w:r w:rsidRPr="00815EC4">
        <w:rPr>
          <w:rFonts w:ascii="Times New Roman" w:hAnsi="Times New Roman" w:cs="Times New Roman"/>
          <w:sz w:val="28"/>
          <w:szCs w:val="28"/>
        </w:rPr>
        <w:t>Легенду про мак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обробив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Михайло Стельмах 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"У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долині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цвіте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>": "…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Ординці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воїна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скришили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на землю впало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наче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зерно, проросло, а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ітку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маком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зацвіло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>…".</w:t>
      </w:r>
    </w:p>
    <w:p w:rsidR="000D426C" w:rsidRPr="00815EC4" w:rsidRDefault="000D426C" w:rsidP="00815EC4">
      <w:pPr>
        <w:jc w:val="both"/>
        <w:rPr>
          <w:rFonts w:ascii="Times New Roman" w:hAnsi="Times New Roman" w:cs="Times New Roman"/>
          <w:sz w:val="28"/>
          <w:szCs w:val="28"/>
        </w:rPr>
      </w:pPr>
      <w:r w:rsidRPr="00815EC4">
        <w:rPr>
          <w:rFonts w:ascii="Times New Roman" w:hAnsi="Times New Roman" w:cs="Times New Roman"/>
          <w:sz w:val="28"/>
          <w:szCs w:val="28"/>
        </w:rPr>
        <w:t xml:space="preserve"> Одна з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героїнь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присвяченого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ітовій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роману Олеся Гончара "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Прапороносці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гине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долині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червоних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маків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>.</w:t>
      </w:r>
    </w:p>
    <w:p w:rsidR="000D426C" w:rsidRPr="00815EC4" w:rsidRDefault="000D426C" w:rsidP="00815E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EC4">
        <w:rPr>
          <w:rFonts w:ascii="Times New Roman" w:hAnsi="Times New Roman" w:cs="Times New Roman"/>
          <w:b/>
          <w:i/>
          <w:sz w:val="28"/>
          <w:szCs w:val="28"/>
        </w:rPr>
        <w:t xml:space="preserve">Мак як символ </w:t>
      </w:r>
      <w:proofErr w:type="spellStart"/>
      <w:r w:rsidRPr="00815EC4">
        <w:rPr>
          <w:rFonts w:ascii="Times New Roman" w:hAnsi="Times New Roman" w:cs="Times New Roman"/>
          <w:b/>
          <w:i/>
          <w:sz w:val="28"/>
          <w:szCs w:val="28"/>
        </w:rPr>
        <w:t>пам'яті</w:t>
      </w:r>
      <w:proofErr w:type="spellEnd"/>
      <w:r w:rsidRPr="00815EC4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proofErr w:type="gramStart"/>
      <w:r w:rsidRPr="00815EC4">
        <w:rPr>
          <w:rFonts w:ascii="Times New Roman" w:hAnsi="Times New Roman" w:cs="Times New Roman"/>
          <w:b/>
          <w:i/>
          <w:sz w:val="28"/>
          <w:szCs w:val="28"/>
        </w:rPr>
        <w:t>св</w:t>
      </w:r>
      <w:proofErr w:type="gramEnd"/>
      <w:r w:rsidRPr="00815EC4">
        <w:rPr>
          <w:rFonts w:ascii="Times New Roman" w:hAnsi="Times New Roman" w:cs="Times New Roman"/>
          <w:b/>
          <w:i/>
          <w:sz w:val="28"/>
          <w:szCs w:val="28"/>
        </w:rPr>
        <w:t>іті</w:t>
      </w:r>
      <w:proofErr w:type="spellEnd"/>
    </w:p>
    <w:p w:rsidR="000D426C" w:rsidRPr="00815EC4" w:rsidRDefault="000D426C" w:rsidP="00815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Появу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символу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>'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язують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з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віршам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людей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канадського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Джона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Мак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Крея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та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працівниці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Християнської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Мойни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5EC4">
        <w:rPr>
          <w:rFonts w:ascii="Times New Roman" w:hAnsi="Times New Roman" w:cs="Times New Roman"/>
          <w:sz w:val="28"/>
          <w:szCs w:val="28"/>
        </w:rPr>
        <w:t>Майкл</w:t>
      </w:r>
      <w:r w:rsidRPr="00815E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15EC4">
        <w:rPr>
          <w:rFonts w:ascii="Times New Roman" w:hAnsi="Times New Roman" w:cs="Times New Roman"/>
          <w:sz w:val="28"/>
          <w:szCs w:val="28"/>
        </w:rPr>
        <w:t xml:space="preserve">Перший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враженням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боїв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Бельгії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у 1915 р. написав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"На полях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Фландрії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починався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словами: "На полях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Фландрії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розквітли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маки/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хрестами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gramStart"/>
      <w:r w:rsidRPr="00815E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 xml:space="preserve"> рядом". Друга 1918 р. написала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"Ми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збережемо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віру</w:t>
      </w:r>
      <w:proofErr w:type="spellEnd"/>
      <w:proofErr w:type="gramEnd"/>
      <w:r w:rsidRPr="00815EC4">
        <w:rPr>
          <w:rFonts w:ascii="Times New Roman" w:hAnsi="Times New Roman" w:cs="Times New Roman"/>
          <w:sz w:val="28"/>
          <w:szCs w:val="28"/>
        </w:rPr>
        <w:t xml:space="preserve">",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обіцяла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носити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Мойні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Майкл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листопаді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того ж року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причепила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шовковий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 на пальто. У 1920 р.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lastRenderedPageBreak/>
        <w:t>легіон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прийняв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маки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офіційного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символу, а у 1921 р.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маки стали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емблемою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Королівського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Британського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легіону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маки є символом перемоги 11-18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1944 р. Другого корпусу ген. Андерса в боях за гору Монте-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Кассіно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Приспів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популярної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існі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того часу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словами "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маки на Монте-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Кассіно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роси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пили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польську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кров".</w:t>
      </w:r>
    </w:p>
    <w:p w:rsidR="000D426C" w:rsidRPr="00815EC4" w:rsidRDefault="000D426C" w:rsidP="00815E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EC4">
        <w:rPr>
          <w:rFonts w:ascii="Times New Roman" w:hAnsi="Times New Roman" w:cs="Times New Roman"/>
          <w:b/>
          <w:i/>
          <w:sz w:val="28"/>
          <w:szCs w:val="28"/>
        </w:rPr>
        <w:t xml:space="preserve">Мак як символ </w:t>
      </w:r>
      <w:proofErr w:type="spellStart"/>
      <w:r w:rsidRPr="00815EC4">
        <w:rPr>
          <w:rFonts w:ascii="Times New Roman" w:hAnsi="Times New Roman" w:cs="Times New Roman"/>
          <w:b/>
          <w:i/>
          <w:sz w:val="28"/>
          <w:szCs w:val="28"/>
        </w:rPr>
        <w:t>пам'яті</w:t>
      </w:r>
      <w:proofErr w:type="spellEnd"/>
      <w:r w:rsidRPr="00815EC4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815EC4">
        <w:rPr>
          <w:rFonts w:ascii="Times New Roman" w:hAnsi="Times New Roman" w:cs="Times New Roman"/>
          <w:b/>
          <w:i/>
          <w:sz w:val="28"/>
          <w:szCs w:val="28"/>
        </w:rPr>
        <w:t>Україні</w:t>
      </w:r>
      <w:proofErr w:type="spellEnd"/>
    </w:p>
    <w:p w:rsidR="000D426C" w:rsidRPr="00815EC4" w:rsidRDefault="000D426C" w:rsidP="00815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 як символ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жертв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використано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на заходах,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приурочених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ічниці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у 2014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Дизайн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телекомпанії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; автором символу є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дизайнер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Мішакін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Графічне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своє</w:t>
      </w:r>
      <w:proofErr w:type="gramStart"/>
      <w:r w:rsidRPr="00815E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ідною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алюзією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: з одного боку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уособлює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маку, з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кривавий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кулі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квіткою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початку і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та гасло.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Минулорічним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>".</w:t>
      </w:r>
    </w:p>
    <w:p w:rsidR="000D426C" w:rsidRPr="00815EC4" w:rsidRDefault="000D426C" w:rsidP="00815E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року за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70-тої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ічниці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перемоги над нацизмом ми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гасло: "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Пам'ятаємо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Перемагаємо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". Ми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пам'ятаємо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страшною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трагедією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Друга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ітова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пам'ятаємо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агресора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зупинили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зусиллями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об'єднані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пам'ятаємо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свою землю,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перемага</w:t>
      </w:r>
      <w:proofErr w:type="gramStart"/>
      <w:r w:rsidRPr="00815EC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пам'ять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сильнішими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Вона —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неминучості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перемоги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>.</w:t>
      </w:r>
    </w:p>
    <w:p w:rsidR="000D426C" w:rsidRPr="00815EC4" w:rsidRDefault="000D426C" w:rsidP="00815EC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15EC4">
        <w:rPr>
          <w:rFonts w:ascii="Times New Roman" w:hAnsi="Times New Roman" w:cs="Times New Roman"/>
          <w:b/>
          <w:i/>
          <w:sz w:val="28"/>
          <w:szCs w:val="28"/>
        </w:rPr>
        <w:t>Рекомендації</w:t>
      </w:r>
      <w:proofErr w:type="spellEnd"/>
      <w:r w:rsidRPr="00815E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815E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b/>
          <w:i/>
          <w:sz w:val="28"/>
          <w:szCs w:val="28"/>
        </w:rPr>
        <w:t>використання</w:t>
      </w:r>
      <w:proofErr w:type="spellEnd"/>
      <w:r w:rsidRPr="00815EC4">
        <w:rPr>
          <w:rFonts w:ascii="Times New Roman" w:hAnsi="Times New Roman" w:cs="Times New Roman"/>
          <w:b/>
          <w:i/>
          <w:sz w:val="28"/>
          <w:szCs w:val="28"/>
        </w:rPr>
        <w:t xml:space="preserve"> символу</w:t>
      </w:r>
    </w:p>
    <w:p w:rsidR="007B55D3" w:rsidRPr="00815EC4" w:rsidRDefault="000D426C" w:rsidP="00815EC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виготовляти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ізовані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червони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маки з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пластику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лівій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грудей,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прикрашати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маками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убори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сумки,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ошийники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мобільні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15EC4">
        <w:rPr>
          <w:rFonts w:ascii="Times New Roman" w:hAnsi="Times New Roman" w:cs="Times New Roman"/>
          <w:sz w:val="28"/>
          <w:szCs w:val="28"/>
        </w:rPr>
        <w:t>авт</w:t>
      </w:r>
      <w:proofErr w:type="gramEnd"/>
      <w:r w:rsidRPr="00815EC4">
        <w:rPr>
          <w:rFonts w:ascii="Times New Roman" w:hAnsi="Times New Roman" w:cs="Times New Roman"/>
          <w:sz w:val="28"/>
          <w:szCs w:val="28"/>
        </w:rPr>
        <w:t>івки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15EC4">
        <w:rPr>
          <w:rFonts w:ascii="Times New Roman" w:hAnsi="Times New Roman" w:cs="Times New Roman"/>
          <w:sz w:val="28"/>
          <w:szCs w:val="28"/>
        </w:rPr>
        <w:t>.»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 проведення заходів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>, присвячених Дню пам’яті та примирення, у ракурсі подій минувшини й сьогодення: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– висвітлити для широкого учнівського загалу “ціну” війни – реальні людські та матеріальні втрати України в результаті Другої світової війни;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– наголосити на внеску України в перемогу антигітлерівської коаліції над нацистською Німеччиною та її союзниками; 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звернути увагу на участь українців у арміях та військових формувань інших країн;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– сприяти формуванню кожного учня/учениці  як особистості, яка усвідомлює свою належність до Українського народу, сприймає війну як складний суспільно-політичний процес, протистояння між країнами, народами, поглядами, але завжди – як лихо, як руйнівний процес, що дорого коштує кожному громадянину й руйнує економіку, культури держав та долі звичайних людей.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Рекомендації щодо форми, місця, методів і прийомів проведення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У виборі календарної дати проведення заходів рекомендуємо кінець першої декади травня, що пов’язано з наступними подіями: капітуляція націонал-соціалістичної Німеччини й офіційне святкування Дня Перемоги антигітлерівської коаліції значною частиною країн світу – 8 та 9 травня 1945 року відповідно.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Обираючи місце, форми, методи та прийоми проведення заходу, педагогам слід враховувати вікові особливості учнів; забезпечення класу (школи) технічними засобами навчання. Заходи, присвячені Дню пам’яті та примирення і Дню перемоги, можуть бути проведені на рівні навчального закладу, кількох паралельних класів та (або) на рівні класу. 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Рекомендовані </w:t>
      </w:r>
      <w:r w:rsidRPr="00815EC4">
        <w:rPr>
          <w:rFonts w:ascii="Times New Roman" w:hAnsi="Times New Roman" w:cs="Times New Roman"/>
          <w:i/>
          <w:sz w:val="28"/>
          <w:szCs w:val="28"/>
          <w:lang w:val="uk-UA"/>
        </w:rPr>
        <w:t>форми проведення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5EC4" w:rsidRPr="00815EC4" w:rsidRDefault="00815EC4" w:rsidP="00815E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Урок-реквієм.</w:t>
      </w:r>
    </w:p>
    <w:p w:rsidR="00815EC4" w:rsidRPr="00815EC4" w:rsidRDefault="00815EC4" w:rsidP="00815E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Вистави, спектаклі тощо.</w:t>
      </w:r>
    </w:p>
    <w:p w:rsidR="00815EC4" w:rsidRPr="00815EC4" w:rsidRDefault="00815EC4" w:rsidP="00815E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Екскурсія.</w:t>
      </w:r>
    </w:p>
    <w:p w:rsidR="00815EC4" w:rsidRPr="00815EC4" w:rsidRDefault="00815EC4" w:rsidP="00815E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Урок-обговорення.</w:t>
      </w:r>
    </w:p>
    <w:p w:rsidR="00815EC4" w:rsidRPr="00815EC4" w:rsidRDefault="00815EC4" w:rsidP="00815E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Урок-презентація.</w:t>
      </w:r>
    </w:p>
    <w:p w:rsidR="00815EC4" w:rsidRPr="00815EC4" w:rsidRDefault="00815EC4" w:rsidP="00815E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Історична реконструкція.</w:t>
      </w:r>
    </w:p>
    <w:p w:rsidR="00815EC4" w:rsidRPr="00815EC4" w:rsidRDefault="00815EC4" w:rsidP="00815E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Круглий стіл, семінар (для учнів старших класів).</w:t>
      </w:r>
    </w:p>
    <w:p w:rsidR="00815EC4" w:rsidRPr="00815EC4" w:rsidRDefault="00815EC4" w:rsidP="00815E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Відео-урок з обговоренням.</w:t>
      </w:r>
    </w:p>
    <w:p w:rsidR="00815EC4" w:rsidRPr="00815EC4" w:rsidRDefault="00815EC4" w:rsidP="00815E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Зустріч двох поколінь: воїни Другої світової війни та АТО в Україні: “Одна родина у двох війнах”.</w:t>
      </w:r>
    </w:p>
    <w:p w:rsidR="00815EC4" w:rsidRPr="00815EC4" w:rsidRDefault="00815EC4" w:rsidP="00815E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Краєзнавчо-пошукові експедиції для учнів-дослідників.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Можливе </w:t>
      </w:r>
      <w:r w:rsidRPr="00815EC4">
        <w:rPr>
          <w:rFonts w:ascii="Times New Roman" w:hAnsi="Times New Roman" w:cs="Times New Roman"/>
          <w:i/>
          <w:sz w:val="28"/>
          <w:szCs w:val="28"/>
          <w:lang w:val="uk-UA"/>
        </w:rPr>
        <w:t>місце проведення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Шкільні приміщення (актова зала, клас тощо).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Краєзнавчі, історичні музеї,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музеї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зброї та техніки.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Меморіальні комплекси.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Могили невідомих воїнів.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Місця проведення визначних боїв.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Місця проведення краєзнавчо-пошукових експедиції.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i/>
          <w:sz w:val="28"/>
          <w:szCs w:val="28"/>
          <w:lang w:val="uk-UA"/>
        </w:rPr>
        <w:t>Прийоми роботи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з визначеними формами проведення заходу: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Розповідь вчителя (має бути інформаційна, емоційна, ціннісно-патріотична насиченість матеріалу).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фото-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аудіо-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, відеоматеріалів, використання мап, відповідних і доречних художніх творів, листів учасників бойових дій з метою створення емоційного фону, більш яскравого та чіткого засвоєння матеріалу, особистісного сприйняття й “проживання” болі війни.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Залучення до заходів воїнів Другої світової війни, учасників АТО.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Організація конкурсу малюнків і творчих робіт “Життя заради України: нам є чим пишатися (1939–1945)”.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Підготовка й організація історичної реконструкції (відтворення певної події війни у реальному часі, яка передбачає кілька етапів, зокрема: вибір власне події, території проведення, безпосередніх учасників, костюмів, декорацій тощо).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Підготовка учнями презентацій в електронному форматі з цієї проблематики.</w:t>
      </w:r>
    </w:p>
    <w:p w:rsidR="00815EC4" w:rsidRPr="00815EC4" w:rsidRDefault="00815EC4" w:rsidP="00815EC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Підготовка й організація краєзнавчо-пошукової експедиції (пошуки могил невідомих воїнів, історично-пошукова робота зі збору усної історії у свідків війни).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i/>
          <w:sz w:val="28"/>
          <w:szCs w:val="28"/>
          <w:lang w:val="uk-UA"/>
        </w:rPr>
        <w:t>Орієнтовна тематика заходів</w:t>
      </w:r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Підкреслюючи, що заходи, присвячені Дню пам’яті та примирення, у 2015 році в загальноосвітніх навчальних закладах проходитимуть під гаслом </w:t>
      </w: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“1939–1945. Пам’ятаємо! Перемагаємо!”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,  рекомендуємо під час підготовки матеріалу та вибору форми заходу приділити особливу увагу таким питанням: визначення людських (серед мирного й військового населення) і матеріальних втрат України в роки Другої світової війни; внесок українців у перемогу антигітлерівської коаліції над нацизмом, при чому говорити як про вояків Радянської армії, так і УПА, етнічних українців в складі інших армій (американської, британської, канадської, польської, французької тощо); поновлення державотворчих процесів і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самоідентифікації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українців під час Другої світової війни. У зв’язку з цим пропонуємо орієнтовну тематику для заходів:</w:t>
      </w:r>
    </w:p>
    <w:p w:rsidR="00815EC4" w:rsidRPr="00815EC4" w:rsidRDefault="00815EC4" w:rsidP="00815EC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“Прагнення до свободи вчора, патріотизм і нездоланність сьогодні – гідна Україна завтра”,</w:t>
      </w:r>
    </w:p>
    <w:p w:rsidR="00815EC4" w:rsidRPr="00815EC4" w:rsidRDefault="00815EC4" w:rsidP="00815E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“Нездоланність українців – гідність держави”.</w:t>
      </w:r>
    </w:p>
    <w:p w:rsidR="00815EC4" w:rsidRPr="00815EC4" w:rsidRDefault="00815EC4" w:rsidP="00815E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“Історії героїв війни: “Ми боролись за українську землю”.</w:t>
      </w:r>
    </w:p>
    <w:p w:rsidR="00815EC4" w:rsidRPr="00815EC4" w:rsidRDefault="00815EC4" w:rsidP="00815E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“Мужність і відвага крізь покоління”.</w:t>
      </w:r>
    </w:p>
    <w:p w:rsidR="00815EC4" w:rsidRPr="00815EC4" w:rsidRDefault="00815EC4" w:rsidP="00815E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“Порозуміння заради майбутнього України”.</w:t>
      </w:r>
    </w:p>
    <w:p w:rsidR="00815EC4" w:rsidRPr="00815EC4" w:rsidRDefault="00815EC4" w:rsidP="00815E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“Українці у Другій світовій війні. Життя і долі” (перелік рекомендованих постатей див. у Додатку).</w:t>
      </w:r>
    </w:p>
    <w:p w:rsidR="00815EC4" w:rsidRPr="00815EC4" w:rsidRDefault="00815EC4" w:rsidP="00815E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“Український патріотизм проти тоталітарних систем”.</w:t>
      </w:r>
    </w:p>
    <w:p w:rsidR="00815EC4" w:rsidRPr="00815EC4" w:rsidRDefault="00815EC4" w:rsidP="00815E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“Кривава ціна миру в Європі 45-го та сьогодні”. </w:t>
      </w:r>
    </w:p>
    <w:p w:rsidR="00815EC4" w:rsidRPr="00815EC4" w:rsidRDefault="00815EC4" w:rsidP="00815EC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“Нам заповідана мужність”.</w:t>
      </w:r>
    </w:p>
    <w:p w:rsidR="00815EC4" w:rsidRPr="00815EC4" w:rsidRDefault="00815EC4" w:rsidP="00815EC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Творчість українських письменників і поетів, яка розкриває події та наслідки війни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У проведенні заходів, присвячених Дню пам’яті та примирення,  можуть застосовуватися фрагменти творів, щоб увести учнів в історичну обстановку, відтворити колорит епохи, передати атмосферу війни, надати картинний або портретний опис. Використання яскраво забарвлених розповідей про події минулого, що мають приховані суб’єктивні смисли, в невимушеній формі підвищують емоційне сприйняття школярами матеріалу, підсилюють його виховний вплив, сприяють формуванню особистісно-ціннісного ставлення до історичної події.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надання заходу “живого” акценту пропонуємо, наприклад, за період кінець 30-х – середина 40-х рр. ХХ ст. використовувати уривки з роману І. Багряного “Людина біжить над прірвою”, “Огненне коло”, П. Загребельного “Дума про невмирущого”, Р. Іваничука “Вогняні стовпи”. Віра в силу українського народу була основною темою творчості О. Гончара. Не слід забувати й про те, що самобутній яскравий письменник і кінорежисер О. Довженко у роки війни фактично народився як прозаїк і публіцист. Його оповідання на воєнну тему (“Ніч перед боєм”, “Стій, смерть, зупинись!”, “Відступник”, “На колючому дроті”) яскраво доносять до читача ті буремні події.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Андрусяк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М. Брати грому. Художньо-документальна повість / Михайло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Андрусяк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– Коломия : Видавничо-поліграфічне товариство “Вік”, 2005. – 829 с.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Астафьев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Прокляты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убиты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Виктор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Астафьев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Собр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cоч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. в  15 т. –  Том 10. –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Красноярск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: Офсет, 1997.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3. Багряний І. Огненне коло / Іван Багряний. – Х.: Фоліо, 2009. – 443 с.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4. Багряний І. Людина біжить над прірвою: для ст. шк. віку / Іван Багряний – К. : Школа, 2009. – 320с. </w:t>
      </w:r>
    </w:p>
    <w:p w:rsidR="00815EC4" w:rsidRPr="00815EC4" w:rsidRDefault="00815EC4" w:rsidP="00815EC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Гончар О. Катарсис / Олесь Гончар – К.: Український Світ, 2000. – 136 с.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6. Гончар О. Людина і зброя / Олесь Гончар // Гончар О. Вибрані твори. У 4-х т. – К.: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Сакцент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Плюс, 2005. – Т. 3. – 320 с.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7. Гончар О. Прапороносці / Олесь Гончар // Гончар О. Вибрані твори. У 4-х т. – К.: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Сакцент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Плюс, 2005. – Т. 4. – 416 с.</w:t>
      </w:r>
    </w:p>
    <w:p w:rsidR="00815EC4" w:rsidRPr="00815EC4" w:rsidRDefault="00815EC4" w:rsidP="00815EC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8. Гуменна Д. Хрещатий Яр (Київ 1941 – 1943): </w:t>
      </w:r>
      <w:proofErr w:type="spellStart"/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>роман-хроніка</w:t>
      </w:r>
      <w:proofErr w:type="spellEnd"/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 Докія Гуменна. – К.: Видавництво імені Олени </w:t>
      </w:r>
      <w:proofErr w:type="spellStart"/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>Теліги</w:t>
      </w:r>
      <w:proofErr w:type="spellEnd"/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>, 2001. – 408 с.</w:t>
      </w:r>
    </w:p>
    <w:p w:rsidR="00815EC4" w:rsidRPr="00815EC4" w:rsidRDefault="00815EC4" w:rsidP="00815EC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>9. Довженко О. Відступник / Олександр Довженко // Довженко О. Кіноповісті. оповідання. – К: Наукова думка, 1986. – С. 571–575.</w:t>
      </w:r>
    </w:p>
    <w:p w:rsidR="00815EC4" w:rsidRPr="00815EC4" w:rsidRDefault="00815EC4" w:rsidP="00815EC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10. Довженко О. На колючому дроті / Олександр Довженко // Довженко О. Кіноповісті. оповідання. – К: Наукова думка, 1986. </w:t>
      </w:r>
    </w:p>
    <w:p w:rsidR="00815EC4" w:rsidRPr="00815EC4" w:rsidRDefault="00815EC4" w:rsidP="00815EC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>11. Довженко О. Ніч перед боєм / Олександр Довженко // Довженко О. Кіноповісті. оповідання. – К: Наукова думка, 1986. – С. 562–570.</w:t>
      </w:r>
    </w:p>
    <w:p w:rsidR="00815EC4" w:rsidRPr="00815EC4" w:rsidRDefault="00815EC4" w:rsidP="00815EC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12. Довженко О. Стій, смерть, зупинись! / Олександр Довженко // Довженко О. Кіноповісті. оповідання. – К: Наукова думка, 1986. – 578 c.</w:t>
      </w:r>
    </w:p>
    <w:p w:rsidR="00815EC4" w:rsidRPr="00815EC4" w:rsidRDefault="00815EC4" w:rsidP="00815EC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>13. Довженко О. Україна в огні: кіноповість / Олександр Довженко. – К: Видавництво “Україна”, 2004. – 144 с.</w:t>
      </w:r>
    </w:p>
    <w:p w:rsidR="00815EC4" w:rsidRPr="00815EC4" w:rsidRDefault="00815EC4" w:rsidP="00815EC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>14. Довженко О. Щоденник (1941-1956) / Олександр Довженко // Довженко О. Зачарована Десна: кіноповість; Україна в огні: кіноповість; Щоденник (1941-1956) / О. Довженко. – К.: Веселка, 1995. – 576 с.</w:t>
      </w:r>
    </w:p>
    <w:p w:rsidR="00815EC4" w:rsidRPr="00815EC4" w:rsidRDefault="00815EC4" w:rsidP="00815EC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15. Довженко О. Щоденникові записи, 1939-1956 = </w:t>
      </w:r>
      <w:proofErr w:type="spellStart"/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>Дневниковые</w:t>
      </w:r>
      <w:proofErr w:type="spellEnd"/>
      <w:r w:rsidRPr="00815E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записи, 1939-1956 / О. П. Довженко. – Харків: Фоліо, 2013. – 879 с.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16. Загребельний П. Дума про невмирущого / Павло Загребельний. – Х.: Фоліо, 2003. – 398 с.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17. Загребельний П. Європа 45 / Павло Загребельний. – Х.: Фоліо, 2003. – 608 с.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18. Іваничук Р. Вогняні стовпи / Роман Іваничук – Харків: Фоліо, 2011. – 507 с.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19. Міщенко Д.О. Батальйон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необмундированих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: повість / Дмитро Міщенко – К.: Молодь, 1995. – 80 с.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У. На білому коні. На коні вороному / Улас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. – К.: Українська прес-група, 2012. – (Бібліотека газети “День”. Серія “Бронебійна публіцистика”).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У. П’ять по дванадцятій. Записки на бігу / Улас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. – Буенос-Айрес: Видавництво Миколи Денисюка, 1954. – Режим доступу: </w:t>
      </w:r>
      <w:hyperlink r:id="rId8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http://diasporiana.org.ua/memuari/382-samchuk-u-p-yat-po-dvanadtsyatiy/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У. Чого не гоїть огонь / Улас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. – К.: МАУП, 2008. – (Бібліотека української героїки).</w:t>
      </w:r>
    </w:p>
    <w:p w:rsidR="00815EC4" w:rsidRPr="00815EC4" w:rsidRDefault="00815EC4" w:rsidP="00815EC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Добірка українських пісень про мужність, патріотизм українців і трагедію війни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Головна мета використання пісень – емоційне забарвлення цілісного сприйняття інформації, створення відповідної атмосфери заходу, патріотичне виховання учнів. Нижченаведені пісні рекомендовані до використання під час організації заходу, присвяченого відзначенню Дня пам’яті і примирення, однак їх кількість не є обмеженою. Застосовувати музичні твори можна як у 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вигляді цілісного оформлення, так і фрагментарно (під час монтування слайд-шоу, на початку та в кінці уроку/заходу, як музичне супроводження розповіді або вистави тощо). </w:t>
      </w:r>
    </w:p>
    <w:p w:rsidR="00815EC4" w:rsidRPr="00815EC4" w:rsidRDefault="00815EC4" w:rsidP="00815EC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i/>
          <w:sz w:val="28"/>
          <w:szCs w:val="28"/>
          <w:lang w:val="uk-UA"/>
        </w:rPr>
        <w:t>Повстанські пісні: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1. “Балада про повстанця” (сл. Є.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Лещук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2. “Гей, готуйте, хлопці, зброю” (автори слів і музики не відомі)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3. “Збудись, Україно!” (автори слів і музики не відомі)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4. “Ой, під гаєм”(автори слів і музики не відомі)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5. “Ой, у лузі червона калина” (автори слів і музики не відомі)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6. “Що то за прапор лопотить?”(автори слів і музики не відомі)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7. “40 повстанців” (автори слів і музики не відомі)</w:t>
      </w:r>
    </w:p>
    <w:p w:rsidR="00815EC4" w:rsidRPr="00815EC4" w:rsidRDefault="00815EC4" w:rsidP="00815EC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i/>
          <w:sz w:val="28"/>
          <w:szCs w:val="28"/>
          <w:lang w:val="uk-UA"/>
        </w:rPr>
        <w:t>Пісні про мужність та героїзм українців: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8. “Буде нам з тобою що згадати” (автори невідомі)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9. “Йшли селом партизани” (народна пісня)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10. “Коли ми вмирали” (народна пісня)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11. “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Лента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лентою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” (сл. М.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Сороколіта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, муз. В. Заставний)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12. “Нас весна не там зустріла” (народна пісня)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13. “Наші партизани” – музичний проект Т.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Чубая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та А. Кузьменка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14. “Не кажучи нікому” (О.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Положинський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15. “У сні не воюють солдати” (А. Малишко, П. Майборода)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16. “Чорними хмарами вкрита руїна” (народна пісня)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17. Шлях на Берлін” (сл. В. Мельник, муз. О.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Бурміцький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5EC4" w:rsidRPr="00815EC4" w:rsidRDefault="00815EC4" w:rsidP="00815EC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i/>
          <w:sz w:val="28"/>
          <w:szCs w:val="28"/>
          <w:lang w:val="uk-UA"/>
        </w:rPr>
        <w:t>Пісні, які передають трагедію війни, тугу близьких за загиблими: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18. “Вічний вогонь” (сл. В. Крищенко, муз. О. Білозір)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19. “Зірвалася хуртовина” (муз. В.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Витвицький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20. “Їхав стрілець на війноньку” (народна пісня)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21. “Солдатські матері” (сл. М.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Боліцька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, муз. В.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Дунець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22. “Мальви” (сл. Б.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, муз. В.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Іваюк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23. “Над Дніпром нерівний бій” (О.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Кіндрачук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sz w:val="28"/>
          <w:szCs w:val="28"/>
          <w:lang w:val="uk-UA"/>
        </w:rPr>
        <w:t>24. “Степом” (сл. М. Негода, муз. А. Пашкевич)</w:t>
      </w:r>
    </w:p>
    <w:p w:rsidR="00815EC4" w:rsidRPr="00815EC4" w:rsidRDefault="00815EC4" w:rsidP="00815EC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Корисні </w:t>
      </w:r>
      <w:proofErr w:type="spellStart"/>
      <w:r w:rsidRPr="00815EC4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інтернет-посилання</w:t>
      </w:r>
      <w:proofErr w:type="spellEnd"/>
      <w:r w:rsidRPr="00815EC4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. Від Дніпра до Ельби. Чотири Українських фронти [Електронний ресурс] // Історична правда. – 2014. – 09.05. – Режим доступу до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журн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http://www.istpravda.com.ua/blogs/2011/06/22/43446/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правильно говорити про “Велику Вітчизняну війну”, а не про “Другу світову війну”? [Електронний ресурс] //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Лікбез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. Історичний фронт. – Режим доступу: </w:t>
      </w:r>
      <w:hyperlink r:id="rId10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http://likbez.org.ua/uk/in-ukraine-the-right-to-talk-about-the-great-patriotic-war-rather-than-world-war-ii.html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В’ятрович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В. Українська Друга світова (в кольорі) [Електронний ресурс] // Газета [сайт] / В.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В’ятрович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. – 2009. – Режим доступу: </w:t>
      </w:r>
      <w:hyperlink r:id="rId11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http://gazeta.dt.ua/POLITICS/ukrayinska_druga_svitova_v_kolori.html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iCs/>
          <w:sz w:val="28"/>
          <w:szCs w:val="28"/>
          <w:lang w:val="uk-UA"/>
        </w:rPr>
        <w:t>4.</w:t>
      </w:r>
      <w:r w:rsidRPr="00815EC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Гвоздик В.С., </w:t>
      </w:r>
      <w:proofErr w:type="spellStart"/>
      <w:r w:rsidRPr="00815EC4">
        <w:rPr>
          <w:rFonts w:ascii="Times New Roman" w:hAnsi="Times New Roman" w:cs="Times New Roman"/>
          <w:iCs/>
          <w:sz w:val="28"/>
          <w:szCs w:val="28"/>
          <w:lang w:val="uk-UA"/>
        </w:rPr>
        <w:t>Князьков</w:t>
      </w:r>
      <w:proofErr w:type="spellEnd"/>
      <w:r w:rsidRPr="00815EC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Ю.П., </w:t>
      </w:r>
      <w:proofErr w:type="spellStart"/>
      <w:r w:rsidRPr="00815EC4">
        <w:rPr>
          <w:rFonts w:ascii="Times New Roman" w:hAnsi="Times New Roman" w:cs="Times New Roman"/>
          <w:iCs/>
          <w:sz w:val="28"/>
          <w:szCs w:val="28"/>
          <w:lang w:val="uk-UA"/>
        </w:rPr>
        <w:t>Штейнле</w:t>
      </w:r>
      <w:proofErr w:type="spellEnd"/>
      <w:r w:rsidRPr="00815EC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О.Ф. “Георгіївська стрічка”, що вона означає 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 // [Сторінка Українського інституту національної пам’яті] / [Київ, 2015]. – Режим доступу: </w:t>
      </w:r>
      <w:hyperlink r:id="rId12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http://www.memory.gov.ua/news/georgiivska-strichka-shcho-vona-oznachae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Гриневич В. Військові мобілізації в Україні 1943—1944 років: “Ви повинні змити власною кров’ю провину перед Батьківщиною і її великим вождем товаришем Сталіним” [Електронний ресурс] // Газета [сайт] / В. Гриневич. Режим доступу : </w:t>
      </w:r>
      <w:hyperlink r:id="rId13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http://gazeta.dt.ua/SOCIETY/viyskovi_mobilizatsiyi_v_ukrayini_19431944_rokiv_vi_povinni_zmiti_vlasnoyu_krovyu_provinu_pered_batk.html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– Назва з екрану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Гриневич В. Гітлер і Сталін у пошуках сепаратного миру: нерозгадана загадка Другої світової війни [Електронний ресурс] // Газета [сайт] / В. Гриневич. Режим доступу :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http://gazeta.dt.ua/SOCIETY/gitler_i_stalin_u_poshukah_separatnogo_miru_nerozgadana_zagadka_drugoyi_svitovoyi_viyni.html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– Назва з екрану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Кобзар Я. Друга світова по-українськи. Думки вітчизняних істориків  // Історична правда [сайт] / Кобзар Я. – 2012. – Режим доступу: http://www.istpravda.com.ua/articles/2012/05/9/84642/ 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Лавський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С. Про роль українців у Другій світовій війні  /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Лавський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С. – 2014. – Режим доступу: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mena.org.ua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blog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/pro-rol-ukrajintsiv-u-druhij-svitovij-vijny/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матеріали Українського інституту національної пам’яті до відзначення Дня Перемоги у 2014 році //  [Сторінка Державного комітету телебачення та радіомовлення України] / [Київ, 2015] – Режим доступу: </w:t>
      </w:r>
      <w:hyperlink r:id="rId15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http://comin.kmu.gov.ua/control/uk/publish/article?art_id=112237&amp;cat_id=77135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Методичні матеріали Українського інституту національної пам’яті до 70-ї річниці вигнання нацистських окупантів з України // [Сторінка Українського інституту національної пам’яті] / [Київ, 2015] – Режим доступу: </w:t>
      </w:r>
      <w:hyperlink r:id="rId16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http://www.memory.gov.ua/news/metodichni-materiali-ukrainskogo-institutu-natsionalnoi-pam-yati-do-70-i-richnitsi-vignannya-na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Методичні рекомендації щодо відзначення Європейського дня пам’яті жертв сталінізму та нацизму і 75-річниці Пакту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Молотова-Ріббентропа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// [Сторінка Українського інституту національної пам’яті] / [Київ, 2015] – Режим доступу: </w:t>
      </w:r>
      <w:hyperlink r:id="rId17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http://www.memory.gov.ua/news/23-serpnya-vidznachatimetsya-evropeiskii-den-pamyati-zhertv-stalinizmu-ta-natsizmu-ta-75-ta-ric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Методичні рекомендації щодо відзначення 75 роковин початку Другої світової війни // [Сторінка Українського інституту національної пам’яті] / [Київ, 2015] – Режим доступу: </w:t>
      </w:r>
      <w:hyperlink r:id="rId18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http://www.memory.gov.ua/news/1-veresnya-vidznachaetsya-75-ta-richnitsya-pochatku-drugoi-svitovoi-viini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Музиченко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Я. Перемога людяності: провідні історики – про українців на різних фронтах Другої світової, високу ціну визволення від нацизму та дбайливе збереження пам’яті про воїнів  // [Сторінка Українського інституту національної пам’яті] / [Київ, 2015] – Режим доступу: </w:t>
      </w:r>
      <w:hyperlink r:id="rId19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http://www.memory.gov.ua/news/peremoga-lyudyanosti-providni-istoriki-pro-ukraintsiv-na-riznikh-frontakh-drugoi-svitovoi-visok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Огієнко В. Як відзначають День Перемоги в Європі  // [Сторінка Українського інституту національної пам’яті] / [Київ, 2015]. – Режим доступу: </w:t>
      </w:r>
      <w:hyperlink r:id="rId20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http://www.memory.gov.ua/news/yak-vidznachayut-den-peremogi-v-evropi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15.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Патриляк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І. Українські націоналісти проти гітлерівської Німеччини. Рух Опору  // Історична правда [сайт] /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Патриляк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І. – 2014. – Режим доступу: </w:t>
      </w:r>
      <w:hyperlink r:id="rId21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http://www.istpravda.com.ua/articles/2014/05/8/142834/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Процик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П. Україна. Друга світова війна. Тільки цифри  // Історична правда [сайт] /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Процик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П. – 2010. – Режим доступу : http://www.pravda.com.ua/articles/2010/05/7/5017138/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17.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Стельмах І. Українські історики відповіли Путіну напередодні Дня Перемоги  // [Сторінка Українського інституту національної пам’яті] / [Київ, 2015]. – Режим доступу: </w:t>
      </w:r>
      <w:hyperlink r:id="rId22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http://www.memory.gov.ua/news/ukrainski-istoriki-vidpovili-putinu-naperedodni-dnya-peremogi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18.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У Велику Вітчизняну росіяни розгромили би Німеччину і без участі українців?  //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Лікбез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доступу: </w:t>
      </w:r>
      <w:hyperlink r:id="rId23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http://likbez.org.ua/uk/v-velikuyu-otechestvennuyu-russkie-razgromili-byi-germaniyu-i-bez-uchastiya-ukraintsev.html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19.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Ціна перемоги: вклад українців у розгром нацизму  // [Сторінка Українського інституту національної пам’яті] / [Київ, 2015]. – Режим доступу: </w:t>
      </w:r>
      <w:hyperlink r:id="rId24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http://www.memory.gov.ua/news/tsina-peremogi-vklad-ukraintsiv-u-rozgrom-natsizmu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20.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Шаповал Ю. “Гітлер, Сталін та Україна: безжальні стратегії”  // Історична правда [сайт] / Шаповал Ю. – 2013. – Режим доступу: </w:t>
      </w:r>
      <w:hyperlink r:id="rId25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http://www.istpravda.com.ua/articles/2013/05/9/123358/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5EC4">
        <w:rPr>
          <w:rFonts w:ascii="Times New Roman" w:hAnsi="Times New Roman" w:cs="Times New Roman"/>
          <w:b/>
          <w:sz w:val="28"/>
          <w:szCs w:val="28"/>
          <w:lang w:val="uk-UA"/>
        </w:rPr>
        <w:t>21.</w:t>
      </w:r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5EC4">
        <w:rPr>
          <w:rFonts w:ascii="Times New Roman" w:hAnsi="Times New Roman" w:cs="Times New Roman"/>
          <w:sz w:val="28"/>
          <w:szCs w:val="28"/>
          <w:lang w:val="uk-UA"/>
        </w:rPr>
        <w:t>Штоквиш</w:t>
      </w:r>
      <w:proofErr w:type="spellEnd"/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О. Війна пам’ятей. Образ Великої Перемоги як інструмент маніпуляції історичною свідомістю  // [Сторінка Українського інституту національної пам’яті] / [Київ, 2015]. – Режим доступу:  –</w:t>
      </w:r>
      <w:hyperlink r:id="rId26" w:history="1">
        <w:r w:rsidRPr="00815EC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http://www.memory.gov.ua/publication/viina-pam-yatei-obraz-velikoi-peremogi-yak-instrument-manipulyatsii-istorichnoyu-svidomi</w:t>
        </w:r>
      </w:hyperlink>
      <w:r w:rsidRPr="00815E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15EC4" w:rsidRPr="00815EC4" w:rsidRDefault="00815EC4" w:rsidP="00815EC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5EC4" w:rsidRPr="00815EC4" w:rsidRDefault="00815EC4" w:rsidP="00815EC4">
      <w:pPr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EC4" w:rsidRPr="00815EC4" w:rsidRDefault="00815EC4" w:rsidP="00815EC4">
      <w:pPr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15EC4" w:rsidRPr="00815EC4" w:rsidRDefault="00815EC4" w:rsidP="00815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5D3" w:rsidRPr="00815EC4" w:rsidRDefault="007B55D3" w:rsidP="00815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5D3" w:rsidRPr="00815EC4" w:rsidRDefault="007B55D3" w:rsidP="007B55D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5D3" w:rsidRPr="0081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91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5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FD"/>
    <w:rsid w:val="000D426C"/>
    <w:rsid w:val="004F2B49"/>
    <w:rsid w:val="006D2053"/>
    <w:rsid w:val="007B55D3"/>
    <w:rsid w:val="00815EC4"/>
    <w:rsid w:val="00CD25FD"/>
    <w:rsid w:val="00F1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5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5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5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sporiana.org.ua/memuari/382-samchuk-u-p-yat-po-dvanadtsyatiy/" TargetMode="External"/><Relationship Id="rId13" Type="http://schemas.openxmlformats.org/officeDocument/2006/relationships/hyperlink" Target="http://gazeta.dt.ua/SOCIETY/viyskovi_mobilizatsiyi_v_ukrayini_19431944_rokiv_vi_povinni_zmiti_vlasnoyu_krovyu_provinu_pered_batk.html" TargetMode="External"/><Relationship Id="rId18" Type="http://schemas.openxmlformats.org/officeDocument/2006/relationships/hyperlink" Target="http://www.memory.gov.ua/news/1-veresnya-vidznachaetsya-75-ta-richnitsya-pochatku-drugoi-svitovoi-viini" TargetMode="External"/><Relationship Id="rId26" Type="http://schemas.openxmlformats.org/officeDocument/2006/relationships/hyperlink" Target="http://www.memory.gov.ua/publication/viina-pam-yatei-obraz-velikoi-peremogi-yak-instrument-manipulyatsii-istorichnoyu-svidom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stpravda.com.ua/articles/2014/05/8/142834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emory.gov.ua/news/georgiivska-strichka-shcho-vona-oznachae" TargetMode="External"/><Relationship Id="rId17" Type="http://schemas.openxmlformats.org/officeDocument/2006/relationships/hyperlink" Target="http://www.memory.gov.ua/news/23-serpnya-vidznachatimetsya-evropeiskii-den-pamyati-zhertv-stalinizmu-ta-natsizmu-ta-75-ta-ric" TargetMode="External"/><Relationship Id="rId25" Type="http://schemas.openxmlformats.org/officeDocument/2006/relationships/hyperlink" Target="http://www.istpravda.com.ua/articles/2013/05/9/12335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mory.gov.ua/news/metodichni-materiali-ukrainskogo-institutu-natsionalnoi-pam-yati-do-70-i-richnitsi-vignannya-na" TargetMode="External"/><Relationship Id="rId20" Type="http://schemas.openxmlformats.org/officeDocument/2006/relationships/hyperlink" Target="http://www.memory.gov.ua/news/yak-vidznachayut-den-peremogi-v-evrop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zeta.dt.ua/POLITICS/ukrayinska_druga_svitova_v_kolori.html" TargetMode="External"/><Relationship Id="rId24" Type="http://schemas.openxmlformats.org/officeDocument/2006/relationships/hyperlink" Target="http://www.memory.gov.ua/news/tsina-peremogi-vklad-ukraintsiv-u-rozgrom-natsizm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min.kmu.gov.ua/control/uk/publish/article?art_id=112237&amp;cat_id=77135" TargetMode="External"/><Relationship Id="rId23" Type="http://schemas.openxmlformats.org/officeDocument/2006/relationships/hyperlink" Target="http://likbez.org.ua/uk/v-velikuyu-otechestvennuyu-russkie-razgromili-byi-germaniyu-i-bez-uchastiya-ukraintsev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kbez.org.ua/uk/in-ukraine-the-right-to-talk-about-the-great-patriotic-war-rather-than-world-war-ii.html" TargetMode="External"/><Relationship Id="rId19" Type="http://schemas.openxmlformats.org/officeDocument/2006/relationships/hyperlink" Target="http://www.memory.gov.ua/news/peremoga-lyudyanosti-providni-istoriki-pro-ukraintsiv-na-riznikh-frontakh-drugoi-svitovoi-vis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tpravda.com.ua/blogs/2011/06/22/43446/" TargetMode="External"/><Relationship Id="rId14" Type="http://schemas.openxmlformats.org/officeDocument/2006/relationships/hyperlink" Target="http://gazeta.dt.ua/SOCIETY/gitler_i_stalin_u_poshukah_separatnogo_miru_nerozgadana_zagadka_drugoyi_svitovoyi_viyni.html" TargetMode="External"/><Relationship Id="rId22" Type="http://schemas.openxmlformats.org/officeDocument/2006/relationships/hyperlink" Target="http://www.memory.gov.ua/news/ukrainski-istoriki-vidpovili-putinu-naperedodni-dnya-peremog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C859-E661-44D2-9180-61256AF1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3540</Words>
  <Characters>20181</Characters>
  <Application>Microsoft Office Word</Application>
  <DocSecurity>0</DocSecurity>
  <Lines>168</Lines>
  <Paragraphs>47</Paragraphs>
  <ScaleCrop>false</ScaleCrop>
  <Company>AlexSoft</Company>
  <LinksUpToDate>false</LinksUpToDate>
  <CharactersWithSpaces>23674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2015-05-07T14:49:00Z</dcterms:created>
  <dcterms:modified xsi:type="dcterms:W3CDTF">2017-02-17T09:28:00Z</dcterms:modified>
</cp:coreProperties>
</file>