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dashed" w:sz="6" w:space="0" w:color="A48F76"/>
        </w:tblBorders>
        <w:shd w:val="clear" w:color="auto" w:fill="FCDDA7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9334"/>
        <w:gridCol w:w="21"/>
      </w:tblGrid>
      <w:tr w:rsidR="00281658" w:rsidRPr="00281658" w:rsidTr="00281658">
        <w:trPr>
          <w:gridAfter w:val="1"/>
          <w:tblCellSpacing w:w="7" w:type="dxa"/>
        </w:trPr>
        <w:tc>
          <w:tcPr>
            <w:tcW w:w="4500" w:type="pct"/>
            <w:shd w:val="clear" w:color="auto" w:fill="FCDDA7"/>
            <w:vAlign w:val="center"/>
            <w:hideMark/>
          </w:tcPr>
          <w:p w:rsidR="00281658" w:rsidRPr="00281658" w:rsidRDefault="00281658" w:rsidP="00281658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2D1600"/>
                <w:sz w:val="30"/>
                <w:szCs w:val="30"/>
                <w:lang w:eastAsia="ru-RU"/>
              </w:rPr>
            </w:pPr>
            <w:r w:rsidRPr="00281658">
              <w:rPr>
                <w:rFonts w:ascii="Tahoma" w:eastAsia="Times New Roman" w:hAnsi="Tahoma" w:cs="Tahoma"/>
                <w:b/>
                <w:bCs/>
                <w:color w:val="2D1600"/>
                <w:sz w:val="30"/>
                <w:szCs w:val="30"/>
                <w:lang w:eastAsia="ru-RU"/>
              </w:rPr>
              <w:t xml:space="preserve">Як </w:t>
            </w:r>
            <w:proofErr w:type="spellStart"/>
            <w:r w:rsidRPr="00281658">
              <w:rPr>
                <w:rFonts w:ascii="Tahoma" w:eastAsia="Times New Roman" w:hAnsi="Tahoma" w:cs="Tahoma"/>
                <w:b/>
                <w:bCs/>
                <w:color w:val="2D1600"/>
                <w:sz w:val="30"/>
                <w:szCs w:val="30"/>
                <w:lang w:eastAsia="ru-RU"/>
              </w:rPr>
              <w:t>поговорити</w:t>
            </w:r>
            <w:proofErr w:type="spellEnd"/>
            <w:r w:rsidRPr="00281658">
              <w:rPr>
                <w:rFonts w:ascii="Tahoma" w:eastAsia="Times New Roman" w:hAnsi="Tahoma" w:cs="Tahoma"/>
                <w:b/>
                <w:bCs/>
                <w:color w:val="2D1600"/>
                <w:sz w:val="30"/>
                <w:szCs w:val="30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Tahoma" w:eastAsia="Times New Roman" w:hAnsi="Tahoma" w:cs="Tahoma"/>
                <w:b/>
                <w:bCs/>
                <w:color w:val="2D1600"/>
                <w:sz w:val="30"/>
                <w:szCs w:val="30"/>
                <w:lang w:eastAsia="ru-RU"/>
              </w:rPr>
              <w:t>дитиною</w:t>
            </w:r>
            <w:proofErr w:type="spellEnd"/>
            <w:r w:rsidRPr="00281658">
              <w:rPr>
                <w:rFonts w:ascii="Tahoma" w:eastAsia="Times New Roman" w:hAnsi="Tahoma" w:cs="Tahoma"/>
                <w:b/>
                <w:bCs/>
                <w:color w:val="2D1600"/>
                <w:sz w:val="30"/>
                <w:szCs w:val="30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Tahoma" w:eastAsia="Times New Roman" w:hAnsi="Tahoma" w:cs="Tahoma"/>
                <w:b/>
                <w:bCs/>
                <w:color w:val="2D1600"/>
                <w:sz w:val="30"/>
                <w:szCs w:val="30"/>
                <w:lang w:eastAsia="ru-RU"/>
              </w:rPr>
              <w:t>брехню</w:t>
            </w:r>
            <w:proofErr w:type="spellEnd"/>
          </w:p>
        </w:tc>
      </w:tr>
      <w:tr w:rsidR="00281658" w:rsidRPr="00281658" w:rsidTr="00281658">
        <w:trPr>
          <w:gridAfter w:val="1"/>
          <w:tblCellSpacing w:w="7" w:type="dxa"/>
        </w:trPr>
        <w:tc>
          <w:tcPr>
            <w:tcW w:w="0" w:type="auto"/>
            <w:shd w:val="clear" w:color="auto" w:fill="FCDDA7"/>
            <w:vAlign w:val="center"/>
            <w:hideMark/>
          </w:tcPr>
          <w:p w:rsidR="00281658" w:rsidRPr="00281658" w:rsidRDefault="00281658" w:rsidP="00281658">
            <w:pPr>
              <w:spacing w:after="0" w:line="253" w:lineRule="atLeast"/>
              <w:rPr>
                <w:rFonts w:ascii="Tahoma" w:eastAsia="Times New Roman" w:hAnsi="Tahoma" w:cs="Tahoma"/>
                <w:color w:val="486B56"/>
                <w:sz w:val="20"/>
                <w:szCs w:val="20"/>
                <w:lang w:eastAsia="ru-RU"/>
              </w:rPr>
            </w:pPr>
            <w:r w:rsidRPr="00281658">
              <w:rPr>
                <w:rFonts w:ascii="Georgia" w:eastAsia="Times New Roman" w:hAnsi="Georgia" w:cs="Tahoma"/>
                <w:noProof/>
                <w:color w:val="006400"/>
                <w:sz w:val="24"/>
                <w:szCs w:val="24"/>
                <w:lang w:eastAsia="ru-RU"/>
              </w:rPr>
              <w:drawing>
                <wp:inline distT="0" distB="0" distL="0" distR="0">
                  <wp:extent cx="3619500" cy="2381250"/>
                  <wp:effectExtent l="0" t="0" r="0" b="0"/>
                  <wp:docPr id="1" name="Рисунок 1" descr="http://lesyazagday.ucoz.ua/kartunki/4-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syazagday.ucoz.ua/kartunki/4-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вам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викликає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цілу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гаму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яскравих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емоцій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Ймовірно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відчуваєте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себе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розлюченим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скривдженим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ображеним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дуже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сильно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засмучує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батьків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тому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підриває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фундамент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довіри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будуємо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відносинах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дітьми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Так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вас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відповідь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виникла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емоційна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реакція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-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продуману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й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умисну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ж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імпульсивну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виникла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спонтанно, просто тому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встигла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все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обдумати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- вас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зрозуміти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нормально.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  <w:t xml:space="preserve">Але,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злилися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вам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було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боляче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образливо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момент, коли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зловили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вашу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важливо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відповісти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спокійному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розміреному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ключі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реагувати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емоційно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- «Як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смієш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мені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Тепер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я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ніколи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зможу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повірити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тобі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знову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!». Коли ми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надмірно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бурхливо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реагуємо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призводить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 того,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наші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концентрують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свою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увагу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нашій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нерозумній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поведінці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відволікає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особистої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за свою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власну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поведінку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Аналогічно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важливо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переборщити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накладаючи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надмірне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неналежне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яке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обставинам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,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покараний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цілий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місяць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Ніякого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комп'ютера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!».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хоч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того,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озвучили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неминучість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вам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стати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трохи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легше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ніяк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допоможе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вашій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навчитися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своїй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помилці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  <w:t xml:space="preserve">Часто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воліють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просто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відбути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ніж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конструктивній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бесіді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батьками про причини та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своєї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Але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саме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те,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завдяки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відбувається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вашої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вплинути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вибір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користь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більш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послідовної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відповідальної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хочемо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щоб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дізналися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брехню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причину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здатна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навчити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важливим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речам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трьох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аспектах: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збільшує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усвідомлення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дитиною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впливу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інших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людей.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 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вимовляється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вакуумі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Залежно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характеру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здатні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вплинути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життя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багатьох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людей,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починаючи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братів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сестер до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однолітків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однокласників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вчителів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тренерів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мають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тенденцію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робити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необдумані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вчинки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часто вони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розуміють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впливають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інших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... до тих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пір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самі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розповісте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підвищує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рівень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їх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інформованості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щодо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впливу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на них самих.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 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брешуть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відчувати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почуття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провини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сорому,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втрату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самоповаги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зниження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самооцінки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Вони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позбавляються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свободи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змушені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терпіти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збільшення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батьківського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нагляду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Тому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корисно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відкрито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поговорити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вашою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сумні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реалії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щоб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вона стала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більш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обізнаною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те,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впливає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особистість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цілому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вчить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дітей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тому, як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важливі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непорушні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цінності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 Система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варіабельною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підбиратися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кожної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конкретної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ситуації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; для того,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щоб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якийсь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сенс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вона повинна бути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послідовною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Система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вашої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наріжним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каменем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довіри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ваших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стосунках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Розмовляючи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створюєте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краще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розуміти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своїх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вчинків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зрештою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стати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більш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правдивою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людиною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Як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домогтися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успіху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розмові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Важливо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тільки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зануритись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Після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того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трохи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заспокоїтесь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зробите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припущення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стосовно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перспективи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націльте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важливість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чотирьох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моментів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: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Визначте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наслідки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позбавте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привілеїв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 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Безумовно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доцільно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неодмінно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настануть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зв'язку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брехнею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Найбільш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розповсюдженим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наслідком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привілеїв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певний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період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часу.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відрізняється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суб'єктивно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вічного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покарання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про яке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згадувалося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раніше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При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цьому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призупинення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певних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привілеїв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пов'язане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із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вчинком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ваш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син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каже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вам,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п'ятницю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вечірці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обов'язково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присутня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доросла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людина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йому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дозволяєте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пізніше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дізнаєтеся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дорослих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там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взагалі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було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Ви можете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відповісти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наслідком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званим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».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осяжному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майбутньому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ваш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син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втрачає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привілей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відвідувати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довірою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будь-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подібних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заходів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 тих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пір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точно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впевнитеся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дорослий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там все ж буде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присутній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До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речі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наслідок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найчастіше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виявляється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дуже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ефективним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Дітям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подобається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така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умова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і вони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приходять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 того,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все ж таки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простіше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сказати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правду.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Відмова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привілеях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певний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суворо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регламентований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період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часу,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дуже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важлива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оскільки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допомагає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включитися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все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осмислити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Так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час,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зазвичай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витрачається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телефон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комп'ютерні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ігри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буде проведений в думках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говорити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правду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вчиняти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обдумано, а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імпульсивно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Скажіть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дитині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частиною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з вами про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брехню.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Деякі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хочуть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говорити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взагалі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процес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викликає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емоції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для них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вкрай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дискомфортні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тому вони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будуть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чинити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опір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за будь-яку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lastRenderedPageBreak/>
              <w:t>ціну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У такому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випадку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поясніть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втрата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привілеїв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залишиться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силі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 тих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пір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відбудеться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змістовна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Інші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поспішать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обговорити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все,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щоб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якнайшвидше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припинилася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На думку автора,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найбільш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ефективним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буде,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збережете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зазначений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термін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припинення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привілеїв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а не завершите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його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відразу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ж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після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Тому,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вважаєте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потрібне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забрати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свого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підлітка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мобільний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телефон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тиждень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він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зважитися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серйозну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вами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через день-два,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він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все одно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матиме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користуватися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телефоном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частину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тижня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залишилась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Привілеї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поновляться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після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того,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будуть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виконані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обидві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умови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Визначтеся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зі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структурою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розмови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ще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його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початку.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 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предмету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здасться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дуже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масштабним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і вона,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швидше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за все,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розгубиться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не буде знати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почати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цьому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слід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очікувати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Ви можете просто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сказати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: «Ось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деякі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моменти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я хочу,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щоб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подумав, перш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ніж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почнемо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Потім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надайте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список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трьох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чотирьох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наступних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питань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:</w:t>
            </w:r>
          </w:p>
          <w:p w:rsidR="00281658" w:rsidRPr="00281658" w:rsidRDefault="00281658" w:rsidP="00281658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rFonts w:ascii="Tahoma" w:eastAsia="Times New Roman" w:hAnsi="Tahoma" w:cs="Tahoma"/>
                <w:color w:val="486B56"/>
                <w:sz w:val="20"/>
                <w:szCs w:val="20"/>
                <w:lang w:eastAsia="ru-RU"/>
              </w:rPr>
            </w:pPr>
            <w:proofErr w:type="gram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яку</w:t>
            </w:r>
            <w:proofErr w:type="gram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мету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переслідував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, коли брехав?</w:t>
            </w:r>
          </w:p>
          <w:p w:rsidR="00281658" w:rsidRPr="00281658" w:rsidRDefault="00281658" w:rsidP="00281658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rFonts w:ascii="Tahoma" w:eastAsia="Times New Roman" w:hAnsi="Tahoma" w:cs="Tahoma"/>
                <w:color w:val="486B56"/>
                <w:sz w:val="20"/>
                <w:szCs w:val="20"/>
                <w:lang w:eastAsia="ru-RU"/>
              </w:rPr>
            </w:pP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якщо</w:t>
            </w:r>
            <w:proofErr w:type="spellEnd"/>
            <w:proofErr w:type="gram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вплутані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однолітки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)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охарактеризував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справжню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дружбу?</w:t>
            </w:r>
          </w:p>
          <w:p w:rsidR="00281658" w:rsidRPr="00281658" w:rsidRDefault="00281658" w:rsidP="00281658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rFonts w:ascii="Tahoma" w:eastAsia="Times New Roman" w:hAnsi="Tahoma" w:cs="Tahoma"/>
                <w:color w:val="486B56"/>
                <w:sz w:val="20"/>
                <w:szCs w:val="20"/>
                <w:lang w:eastAsia="ru-RU"/>
              </w:rPr>
            </w:pP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якщо</w:t>
            </w:r>
            <w:proofErr w:type="spellEnd"/>
            <w:proofErr w:type="gram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шкодила дому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сімейним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правилам)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вирішив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була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єдиним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способом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впоратися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із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розчаруванням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наших правил/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очікувань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незадоволений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правилом,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думаєш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занадто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суворі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надміру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намагаємося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тебе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захистити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зробив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цим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окрім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?</w:t>
            </w:r>
          </w:p>
          <w:p w:rsidR="00281658" w:rsidRPr="00281658" w:rsidRDefault="00281658" w:rsidP="00281658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rFonts w:ascii="Tahoma" w:eastAsia="Times New Roman" w:hAnsi="Tahoma" w:cs="Tahoma"/>
                <w:color w:val="486B56"/>
                <w:sz w:val="20"/>
                <w:szCs w:val="20"/>
                <w:lang w:eastAsia="ru-RU"/>
              </w:rPr>
            </w:pPr>
            <w:proofErr w:type="gram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задайте</w:t>
            </w:r>
            <w:proofErr w:type="gram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питання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довіру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таким чином: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мене причини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довіряти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тому,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стримаєш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своє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слово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майбутньому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?</w:t>
            </w:r>
          </w:p>
          <w:p w:rsidR="00281658" w:rsidRPr="00281658" w:rsidRDefault="00281658" w:rsidP="00281658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rFonts w:ascii="Tahoma" w:eastAsia="Times New Roman" w:hAnsi="Tahoma" w:cs="Tahoma"/>
                <w:color w:val="486B56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proofErr w:type="gram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зробиш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інакше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разу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опинишся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ситуації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?</w:t>
            </w:r>
          </w:p>
          <w:p w:rsidR="00281658" w:rsidRPr="00281658" w:rsidRDefault="00281658" w:rsidP="00281658">
            <w:pPr>
              <w:spacing w:after="0" w:line="253" w:lineRule="atLeast"/>
              <w:rPr>
                <w:rFonts w:ascii="Tahoma" w:eastAsia="Times New Roman" w:hAnsi="Tahoma" w:cs="Tahoma"/>
                <w:color w:val="486B56"/>
                <w:sz w:val="20"/>
                <w:szCs w:val="20"/>
                <w:lang w:eastAsia="ru-RU"/>
              </w:rPr>
            </w:pP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Ніяких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лекцій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Уникайте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слова «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чому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».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 При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декларуванні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встановлюють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певні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рамки, 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також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серйозної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намагайтеся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уникати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спокуси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прочитати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емоційну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лекцію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вчинок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Тримайтеся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по-діловому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й абсолютно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спокійно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, задавайте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відкриті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питання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відповісти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просто «так»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Уникайте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слова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запитаєте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вашої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збрехав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збираєшся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вечірку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?»,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Ймовірно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викличе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протест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захисну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реакцію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перешкоджатимуть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шляху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Після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того, як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надали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структуру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все обдумала,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переходьте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Ви можете при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цьому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поставлені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вами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якості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орієнтира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Як я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дізнаюся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моя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дитина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чогось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цього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навчилася</w:t>
            </w:r>
            <w:proofErr w:type="spellEnd"/>
            <w:r w:rsidRPr="00281658">
              <w:rPr>
                <w:rFonts w:ascii="Georgia" w:eastAsia="Times New Roman" w:hAnsi="Georgia" w:cs="Tahoma"/>
                <w:b/>
                <w:bCs/>
                <w:color w:val="006400"/>
                <w:sz w:val="24"/>
                <w:szCs w:val="24"/>
                <w:lang w:eastAsia="ru-RU"/>
              </w:rPr>
              <w:t>?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  <w:t>Ви</w:t>
            </w:r>
            <w:proofErr w:type="gram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знаєте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найкраще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коли ваша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по-справді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відверта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а коли просто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розповідає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вам те,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як вона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вважає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хочете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почути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як правило,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вчаться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помилках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кажучи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відкрито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щиро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причини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допущеної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ними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помилки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Вони, як правило,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виявляють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також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справжні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емоції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смуток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почуття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провини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або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сорому.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Більшість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дітей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брешуть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відчуваю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себе далеко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дуже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добре.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вашій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бесіді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неодмінно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надайте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простір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для того,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щоб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поговорити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про те,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ж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їм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так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неприємно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br/>
            </w:r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lastRenderedPageBreak/>
              <w:br/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Деякі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діти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можуть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брехати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регулярно, але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тільки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попадаються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рідко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Ось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чому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розумієте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ваша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сказала неправду,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важливо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щоб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відбулася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структурована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конструктивна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розмова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проллє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світло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наслідки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цієї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брехні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подарує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дитині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великого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це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внеском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такої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виявить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більше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поваги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до себе, вас і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інших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Дитини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якій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можна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довіряти</w:t>
            </w:r>
            <w:proofErr w:type="spellEnd"/>
            <w:r w:rsidRPr="00281658">
              <w:rPr>
                <w:rFonts w:ascii="Georgia" w:eastAsia="Times New Roman" w:hAnsi="Georgia" w:cs="Tahoma"/>
                <w:color w:val="006400"/>
                <w:sz w:val="24"/>
                <w:szCs w:val="24"/>
                <w:lang w:eastAsia="ru-RU"/>
              </w:rPr>
              <w:t>.</w:t>
            </w:r>
          </w:p>
        </w:tc>
      </w:tr>
      <w:tr w:rsidR="00281658" w:rsidRPr="00281658" w:rsidTr="00281658">
        <w:trPr>
          <w:tblCellSpacing w:w="7" w:type="dxa"/>
        </w:trPr>
        <w:tc>
          <w:tcPr>
            <w:tcW w:w="0" w:type="auto"/>
            <w:gridSpan w:val="2"/>
            <w:shd w:val="clear" w:color="auto" w:fill="FCDDA7"/>
            <w:vAlign w:val="center"/>
            <w:hideMark/>
          </w:tcPr>
          <w:p w:rsidR="00281658" w:rsidRPr="00281658" w:rsidRDefault="00281658" w:rsidP="0028165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hanging="3928"/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</w:pPr>
          </w:p>
          <w:p w:rsidR="00281658" w:rsidRPr="00281658" w:rsidRDefault="00281658" w:rsidP="0028165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</w:pPr>
            <w:hyperlink r:id="rId6" w:history="1">
              <w:r w:rsidRPr="00281658">
                <w:rPr>
                  <w:rFonts w:ascii="Tahoma" w:eastAsia="Times New Roman" w:hAnsi="Tahoma" w:cs="Tahoma"/>
                  <w:color w:val="2D1600"/>
                  <w:sz w:val="18"/>
                  <w:szCs w:val="18"/>
                  <w:lang w:eastAsia="ru-RU"/>
                </w:rPr>
                <w:t>1</w:t>
              </w:r>
            </w:hyperlink>
          </w:p>
          <w:p w:rsidR="00281658" w:rsidRPr="00281658" w:rsidRDefault="00281658" w:rsidP="0028165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</w:pPr>
            <w:hyperlink r:id="rId7" w:history="1">
              <w:r w:rsidRPr="00281658">
                <w:rPr>
                  <w:rFonts w:ascii="Tahoma" w:eastAsia="Times New Roman" w:hAnsi="Tahoma" w:cs="Tahoma"/>
                  <w:color w:val="2D1600"/>
                  <w:sz w:val="18"/>
                  <w:szCs w:val="18"/>
                  <w:lang w:eastAsia="ru-RU"/>
                </w:rPr>
                <w:t>2</w:t>
              </w:r>
            </w:hyperlink>
          </w:p>
          <w:p w:rsidR="00281658" w:rsidRPr="00281658" w:rsidRDefault="00281658" w:rsidP="0028165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</w:pPr>
            <w:hyperlink r:id="rId8" w:history="1">
              <w:r w:rsidRPr="00281658">
                <w:rPr>
                  <w:rFonts w:ascii="Tahoma" w:eastAsia="Times New Roman" w:hAnsi="Tahoma" w:cs="Tahoma"/>
                  <w:color w:val="2D1600"/>
                  <w:sz w:val="18"/>
                  <w:szCs w:val="18"/>
                  <w:lang w:eastAsia="ru-RU"/>
                </w:rPr>
                <w:t>3</w:t>
              </w:r>
            </w:hyperlink>
          </w:p>
          <w:p w:rsidR="00281658" w:rsidRPr="00281658" w:rsidRDefault="00281658" w:rsidP="0028165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</w:pPr>
            <w:hyperlink r:id="rId9" w:history="1">
              <w:r w:rsidRPr="00281658">
                <w:rPr>
                  <w:rFonts w:ascii="Tahoma" w:eastAsia="Times New Roman" w:hAnsi="Tahoma" w:cs="Tahoma"/>
                  <w:color w:val="2D1600"/>
                  <w:sz w:val="18"/>
                  <w:szCs w:val="18"/>
                  <w:lang w:eastAsia="ru-RU"/>
                </w:rPr>
                <w:t>4</w:t>
              </w:r>
            </w:hyperlink>
          </w:p>
          <w:p w:rsidR="00281658" w:rsidRPr="00281658" w:rsidRDefault="00281658" w:rsidP="00281658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</w:pPr>
            <w:hyperlink r:id="rId10" w:history="1">
              <w:r w:rsidRPr="00281658">
                <w:rPr>
                  <w:rFonts w:ascii="Tahoma" w:eastAsia="Times New Roman" w:hAnsi="Tahoma" w:cs="Tahoma"/>
                  <w:color w:val="2D1600"/>
                  <w:sz w:val="18"/>
                  <w:szCs w:val="18"/>
                  <w:lang w:eastAsia="ru-RU"/>
                </w:rPr>
                <w:t>5</w:t>
              </w:r>
            </w:hyperlink>
          </w:p>
          <w:p w:rsidR="00281658" w:rsidRPr="00281658" w:rsidRDefault="00281658" w:rsidP="00281658">
            <w:pPr>
              <w:spacing w:after="0" w:line="240" w:lineRule="auto"/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</w:pPr>
            <w:r w:rsidRPr="00281658"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  <w:t>4 </w:t>
            </w:r>
            <w:proofErr w:type="spellStart"/>
            <w:r w:rsidRPr="00281658"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  <w:fldChar w:fldCharType="begin"/>
            </w:r>
            <w:r w:rsidRPr="00281658"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  <w:instrText xml:space="preserve"> HYPERLINK "javascript://" </w:instrText>
            </w:r>
            <w:r w:rsidRPr="00281658"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  <w:fldChar w:fldCharType="separate"/>
            </w:r>
            <w:r w:rsidRPr="00281658"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  <w:t>lesy</w:t>
            </w:r>
            <w:proofErr w:type="spellEnd"/>
            <w:r w:rsidRPr="00281658"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  <w:fldChar w:fldCharType="end"/>
            </w:r>
            <w:r w:rsidRPr="00281658">
              <w:rPr>
                <w:rFonts w:ascii="Tahoma" w:eastAsia="Times New Roman" w:hAnsi="Tahoma" w:cs="Tahoma"/>
                <w:color w:val="2D1600"/>
                <w:sz w:val="18"/>
                <w:szCs w:val="18"/>
                <w:lang w:eastAsia="ru-RU"/>
              </w:rPr>
              <w:t> 0.0/0</w:t>
            </w:r>
          </w:p>
        </w:tc>
      </w:tr>
    </w:tbl>
    <w:p w:rsidR="00556B96" w:rsidRDefault="00556B96">
      <w:bookmarkStart w:id="0" w:name="_GoBack"/>
      <w:bookmarkEnd w:id="0"/>
    </w:p>
    <w:sectPr w:rsidR="0055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67B"/>
    <w:multiLevelType w:val="multilevel"/>
    <w:tmpl w:val="7472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604D"/>
    <w:multiLevelType w:val="multilevel"/>
    <w:tmpl w:val="6A129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C6"/>
    <w:rsid w:val="00281658"/>
    <w:rsid w:val="00556B96"/>
    <w:rsid w:val="00E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4C1D6-0E37-4EFC-AEE5-78A308ED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658"/>
    <w:rPr>
      <w:b/>
      <w:bCs/>
    </w:rPr>
  </w:style>
  <w:style w:type="character" w:customStyle="1" w:styleId="apple-converted-space">
    <w:name w:val="apple-converted-space"/>
    <w:basedOn w:val="a0"/>
    <w:rsid w:val="00281658"/>
  </w:style>
  <w:style w:type="character" w:styleId="a5">
    <w:name w:val="Hyperlink"/>
    <w:basedOn w:val="a0"/>
    <w:uiPriority w:val="99"/>
    <w:semiHidden/>
    <w:unhideWhenUsed/>
    <w:rsid w:val="00281658"/>
    <w:rPr>
      <w:color w:val="0000FF"/>
      <w:u w:val="single"/>
    </w:rPr>
  </w:style>
  <w:style w:type="character" w:customStyle="1" w:styleId="ed-value">
    <w:name w:val="ed-value"/>
    <w:basedOn w:val="a0"/>
    <w:rsid w:val="0028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yazagday.ucoz.ua/news/jak_pogovoriti_z_ditinoju_pro_brekhnju/2015-03-18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syazagday.ucoz.ua/news/jak_pogovoriti_z_ditinoju_pro_brekhnju/2015-03-18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yazagday.ucoz.ua/news/jak_pogovoriti_z_ditinoju_pro_brekhnju/2015-03-18-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esyazagday.ucoz.ua/news/jak_pogovoriti_z_ditinoju_pro_brekhnju/2015-03-18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syazagday.ucoz.ua/news/jak_pogovoriti_z_ditinoju_pro_brekhnju/2015-03-18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1308</Words>
  <Characters>7460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2015-03-21T21:37:00Z</dcterms:created>
  <dcterms:modified xsi:type="dcterms:W3CDTF">2015-03-21T21:39:00Z</dcterms:modified>
</cp:coreProperties>
</file>