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DD" w:rsidRDefault="00FD2DF9">
      <w:pPr>
        <w:rPr>
          <w:rFonts w:ascii="Times New Roman" w:hAnsi="Times New Roman" w:cs="Times New Roman"/>
          <w:sz w:val="28"/>
          <w:szCs w:val="28"/>
        </w:rPr>
      </w:pPr>
      <w:r w:rsidRPr="00D47C1D">
        <w:rPr>
          <w:rFonts w:ascii="Times New Roman" w:hAnsi="Times New Roman" w:cs="Times New Roman"/>
          <w:b/>
          <w:sz w:val="28"/>
          <w:szCs w:val="28"/>
        </w:rPr>
        <w:t>Тема.</w:t>
      </w:r>
      <w:r>
        <w:rPr>
          <w:rFonts w:ascii="Times New Roman" w:hAnsi="Times New Roman" w:cs="Times New Roman"/>
          <w:sz w:val="28"/>
          <w:szCs w:val="28"/>
        </w:rPr>
        <w:t xml:space="preserve"> Підмет.</w:t>
      </w:r>
      <w:r w:rsidRPr="00FD2D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D2DF9">
        <w:rPr>
          <w:rFonts w:ascii="Times New Roman" w:hAnsi="Times New Roman" w:cs="Times New Roman"/>
          <w:sz w:val="28"/>
          <w:szCs w:val="28"/>
        </w:rPr>
        <w:t>пособи його вираження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D2DF9" w:rsidRDefault="00FD2DF9">
      <w:pPr>
        <w:rPr>
          <w:rFonts w:ascii="Times New Roman" w:hAnsi="Times New Roman" w:cs="Times New Roman"/>
          <w:sz w:val="28"/>
          <w:szCs w:val="28"/>
        </w:rPr>
      </w:pPr>
      <w:r w:rsidRPr="00A05348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sz w:val="28"/>
          <w:szCs w:val="28"/>
        </w:rPr>
        <w:t>: поглибити знання учнів про підмет як головний член речення; сформувати вміння виділяти підмети у двоскладному реченні, визначати способи їх вираження; удосконалювати вміння конструювати речення з різними за способом вираження підметами, поглибити світогляд восьмикласників.</w:t>
      </w:r>
    </w:p>
    <w:p w:rsidR="00FD2DF9" w:rsidRDefault="00FD2DF9">
      <w:pPr>
        <w:rPr>
          <w:rFonts w:ascii="Times New Roman" w:hAnsi="Times New Roman" w:cs="Times New Roman"/>
          <w:sz w:val="28"/>
          <w:szCs w:val="28"/>
        </w:rPr>
      </w:pPr>
      <w:r w:rsidRPr="00A05348">
        <w:rPr>
          <w:rFonts w:ascii="Times New Roman" w:hAnsi="Times New Roman" w:cs="Times New Roman"/>
          <w:b/>
          <w:sz w:val="28"/>
          <w:szCs w:val="28"/>
        </w:rPr>
        <w:t>Тип уроку</w:t>
      </w:r>
      <w:r>
        <w:rPr>
          <w:rFonts w:ascii="Times New Roman" w:hAnsi="Times New Roman" w:cs="Times New Roman"/>
          <w:sz w:val="28"/>
          <w:szCs w:val="28"/>
        </w:rPr>
        <w:t>: урок – подорож.</w:t>
      </w:r>
    </w:p>
    <w:p w:rsidR="00FD2DF9" w:rsidRDefault="00FD2DF9" w:rsidP="00FD2DF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2DF9">
        <w:rPr>
          <w:rFonts w:ascii="Times New Roman" w:hAnsi="Times New Roman" w:cs="Times New Roman"/>
          <w:b/>
          <w:sz w:val="28"/>
          <w:szCs w:val="28"/>
        </w:rPr>
        <w:t>Перебіг уроку</w:t>
      </w:r>
    </w:p>
    <w:p w:rsidR="00FD2DF9" w:rsidRDefault="00FD2DF9" w:rsidP="00FD2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І. Організаційний момент.</w:t>
      </w:r>
    </w:p>
    <w:p w:rsidR="00FD2DF9" w:rsidRDefault="00FD2DF9" w:rsidP="00FD2D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ІІ. Ознайомлення з темою, метою і завданнями.</w:t>
      </w:r>
    </w:p>
    <w:p w:rsidR="00FD2DF9" w:rsidRDefault="00FD2DF9" w:rsidP="00FD2D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6388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У </w:t>
      </w:r>
      <w:r>
        <w:rPr>
          <w:rFonts w:ascii="Times New Roman" w:hAnsi="Times New Roman" w:cs="Times New Roman"/>
          <w:sz w:val="28"/>
          <w:szCs w:val="28"/>
        </w:rPr>
        <w:t>країну простого речення ми потрапили. А тепер, щоб зайти у маєток, де живе підмет, треба продемонструвати перед господарем свої знання.</w:t>
      </w:r>
    </w:p>
    <w:p w:rsidR="00FD2DF9" w:rsidRDefault="00FD2DF9" w:rsidP="002563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«Теоретики» працює з опорною схемою.</w:t>
      </w:r>
    </w:p>
    <w:p w:rsidR="00FD2DF9" w:rsidRDefault="00FD2DF9" w:rsidP="00FD2DF9">
      <w:pPr>
        <w:jc w:val="center"/>
        <w:rPr>
          <w:rFonts w:ascii="Times New Roman" w:hAnsi="Times New Roman" w:cs="Times New Roman"/>
          <w:sz w:val="28"/>
          <w:szCs w:val="28"/>
        </w:rPr>
      </w:pPr>
      <w:r w:rsidRPr="00FD2DF9">
        <w:rPr>
          <w:rFonts w:ascii="Times New Roman" w:hAnsi="Times New Roman" w:cs="Times New Roman"/>
          <w:b/>
          <w:sz w:val="28"/>
          <w:szCs w:val="28"/>
        </w:rPr>
        <w:t>Підмет – головний член двоскладного речення</w:t>
      </w:r>
    </w:p>
    <w:tbl>
      <w:tblPr>
        <w:tblStyle w:val="a3"/>
        <w:tblW w:w="0" w:type="auto"/>
        <w:tblLook w:val="04A0"/>
      </w:tblPr>
      <w:tblGrid>
        <w:gridCol w:w="2463"/>
        <w:gridCol w:w="2464"/>
        <w:gridCol w:w="2464"/>
        <w:gridCol w:w="2464"/>
      </w:tblGrid>
      <w:tr w:rsidR="00FD2DF9" w:rsidTr="00FD2DF9">
        <w:tc>
          <w:tcPr>
            <w:tcW w:w="2463" w:type="dxa"/>
          </w:tcPr>
          <w:p w:rsidR="00FD2DF9" w:rsidRPr="00FD2DF9" w:rsidRDefault="00FD2DF9" w:rsidP="00FD2D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D2D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Означає</w:t>
            </w:r>
          </w:p>
        </w:tc>
        <w:tc>
          <w:tcPr>
            <w:tcW w:w="2464" w:type="dxa"/>
          </w:tcPr>
          <w:p w:rsidR="00FD2DF9" w:rsidRPr="00FD2DF9" w:rsidRDefault="00FD2DF9" w:rsidP="00FD2D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D2D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Пов'язаний</w:t>
            </w:r>
          </w:p>
        </w:tc>
        <w:tc>
          <w:tcPr>
            <w:tcW w:w="2464" w:type="dxa"/>
          </w:tcPr>
          <w:p w:rsidR="00FD2DF9" w:rsidRPr="00FD2DF9" w:rsidRDefault="00FD2DF9" w:rsidP="00FD2D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D2D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Відповідає на питання</w:t>
            </w:r>
          </w:p>
        </w:tc>
        <w:tc>
          <w:tcPr>
            <w:tcW w:w="2464" w:type="dxa"/>
          </w:tcPr>
          <w:p w:rsidR="00FD2DF9" w:rsidRPr="00FD2DF9" w:rsidRDefault="00FD2DF9" w:rsidP="00FD2D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FD2DF9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Виражається</w:t>
            </w:r>
          </w:p>
          <w:p w:rsidR="00FD2DF9" w:rsidRPr="00FD2DF9" w:rsidRDefault="00FD2DF9" w:rsidP="00FD2D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FD2DF9" w:rsidRPr="00FD2DF9" w:rsidRDefault="00FD2DF9" w:rsidP="00FD2DF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</w:tc>
      </w:tr>
    </w:tbl>
    <w:p w:rsidR="00FD2DF9" w:rsidRDefault="00FD2DF9" w:rsidP="00FD2DF9">
      <w:pPr>
        <w:rPr>
          <w:rFonts w:ascii="Times New Roman" w:hAnsi="Times New Roman" w:cs="Times New Roman"/>
          <w:sz w:val="28"/>
          <w:szCs w:val="28"/>
        </w:rPr>
      </w:pPr>
    </w:p>
    <w:p w:rsidR="00256388" w:rsidRDefault="00256388" w:rsidP="0025638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Група «Практики» працює з вправою 89 за підручником, визначає, у яких реченнях підмети виражені словосполученнями, а в яких одним словом.</w:t>
      </w:r>
    </w:p>
    <w:p w:rsidR="00256388" w:rsidRDefault="00256388" w:rsidP="002563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ІІІ. Мотивація навчальної діяльності учнів. Уведення їх у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поняттєво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термінологічне поле.</w:t>
      </w:r>
    </w:p>
    <w:p w:rsidR="00256388" w:rsidRDefault="00256388" w:rsidP="00256388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Слово вчителя.</w:t>
      </w:r>
    </w:p>
    <w:p w:rsidR="00256388" w:rsidRDefault="00256388" w:rsidP="0025638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256388">
        <w:rPr>
          <w:rFonts w:ascii="Times New Roman" w:hAnsi="Times New Roman" w:cs="Times New Roman"/>
          <w:sz w:val="28"/>
          <w:szCs w:val="28"/>
        </w:rPr>
        <w:t>Речення – основна синтаксична одиниця, йому належить центральне місце, оскільки воно безпосередньо формує повідомлення. У реченні реалізуються комунікативна й пізнавальна функції мови. Основною ланкою синтаксичної системи української мови є двоскладні речення. Граматичну основу двоскладного речення складають підмет і присудок як головні члени речення, пов’язані специфічним  граматичним зв’язком: присудок вимагає підмета у формі називного відмінка, а підмет підпорядковує присудок, визначаючи його форми, особи, числа і роду.</w:t>
      </w:r>
    </w:p>
    <w:p w:rsidR="00256388" w:rsidRDefault="00256388" w:rsidP="0025638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І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 Сприймання і засвоєння учнями нового матеріалу.</w:t>
      </w:r>
    </w:p>
    <w:p w:rsidR="00256388" w:rsidRDefault="00980304" w:rsidP="00980304">
      <w:pPr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Дослідження – характеристика.</w:t>
      </w:r>
    </w:p>
    <w:p w:rsidR="00980304" w:rsidRDefault="00980304" w:rsidP="00980304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80304">
        <w:rPr>
          <w:rFonts w:ascii="Times New Roman" w:hAnsi="Times New Roman" w:cs="Times New Roman"/>
          <w:sz w:val="28"/>
          <w:szCs w:val="28"/>
        </w:rPr>
        <w:lastRenderedPageBreak/>
        <w:t>Прочитати вголос вислови, визначити тематику чи можна їх вважати повчальними.</w:t>
      </w:r>
      <w:r>
        <w:rPr>
          <w:rFonts w:ascii="Times New Roman" w:hAnsi="Times New Roman" w:cs="Times New Roman"/>
          <w:sz w:val="28"/>
          <w:szCs w:val="28"/>
        </w:rPr>
        <w:t xml:space="preserve"> Це своєрідний замок, за допомогою якого можна відчинити двері замку, якщо правильно визначити у кожному з них підмет і спосіб його вираження.</w:t>
      </w:r>
    </w:p>
    <w:p w:rsidR="00980304" w:rsidRDefault="00980304" w:rsidP="0098030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Способи вираження підмета</w:t>
      </w:r>
    </w:p>
    <w:p w:rsidR="00980304" w:rsidRPr="00980304" w:rsidRDefault="00F877CF" w:rsidP="0098030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roundrect id="_x0000_s1026" style="position:absolute;left:0;text-align:left;margin-left:185.25pt;margin-top:7.5pt;width:125.45pt;height:62.35pt;z-index:251658240" arcsize="10923f">
            <v:textbox>
              <w:txbxContent>
                <w:p w:rsidR="00370AA7" w:rsidRDefault="0093556F">
                  <w:r>
                    <w:t xml:space="preserve">Хто </w:t>
                  </w:r>
                  <w:r w:rsidR="00E11B86">
                    <w:t>принижує</w:t>
                  </w:r>
                  <w:r>
                    <w:t xml:space="preserve"> оточуючих,той ніколи не буде великий сам.</w:t>
                  </w:r>
                </w:p>
              </w:txbxContent>
            </v:textbox>
          </v:roundrect>
        </w:pict>
      </w:r>
    </w:p>
    <w:p w:rsidR="005C20B0" w:rsidRDefault="00F877CF" w:rsidP="00980304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61.7pt;margin-top:230.6pt;width:0;height:127.05pt;z-index:25167462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3" type="#_x0000_t32" style="position:absolute;left:0;text-align:left;margin-left:310.7pt;margin-top:193.45pt;width:25.95pt;height:22.45pt;z-index:25167360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2" type="#_x0000_t32" style="position:absolute;left:0;text-align:left;margin-left:165.95pt;margin-top:193.45pt;width:28.2pt;height:5.95pt;flip:x;z-index:25167257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1" type="#_x0000_t32" style="position:absolute;left:0;text-align:left;margin-left:173.5pt;margin-top:230.6pt;width:59.25pt;height:85.35pt;flip:x;z-index:251671552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8" type="#_x0000_t32" style="position:absolute;left:0;text-align:left;margin-left:289.9pt;margin-top:221.8pt;width:46.75pt;height:89.7pt;z-index:251668480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9" type="#_x0000_t32" style="position:absolute;left:0;text-align:left;margin-left:162.2pt;margin-top:90.3pt;width:39.35pt;height:52.95pt;z-index:25166950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40" type="#_x0000_t32" style="position:absolute;left:0;text-align:left;margin-left:301.75pt;margin-top:90.3pt;width:34.9pt;height:57.4pt;flip:x;z-index:251670528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shape id="_x0000_s1037" type="#_x0000_t32" style="position:absolute;left:0;text-align:left;margin-left:255pt;margin-top:41.3pt;width:.75pt;height:82.4pt;z-index:251667456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oval id="_x0000_s1036" style="position:absolute;left:0;text-align:left;margin-left:189.1pt;margin-top:123.7pt;width:125.3pt;height:106.9pt;z-index:251666432">
            <v:textbox>
              <w:txbxContent>
                <w:p w:rsidR="00370AA7" w:rsidRDefault="0093556F">
                  <w:r>
                    <w:t>Підмет може бути виражений</w:t>
                  </w:r>
                </w:p>
              </w:txbxContent>
            </v:textbox>
          </v:oval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34" style="position:absolute;left:0;text-align:left;margin-left:189.1pt;margin-top:357.65pt;width:135.1pt;height:74.2pt;z-index:251665408" arcsize="10923f">
            <v:textbox>
              <w:txbxContent>
                <w:p w:rsidR="00370AA7" w:rsidRDefault="00E73F3B">
                  <w:r>
                    <w:t>Центром формування культури спілкування в Україні стала Києво-Могилянська академія.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33" style="position:absolute;left:0;text-align:left;margin-left:336.65pt;margin-top:273.65pt;width:135.1pt;height:74.2pt;z-index:251664384" arcsize="10923f">
            <v:textbox>
              <w:txbxContent>
                <w:p w:rsidR="00370AA7" w:rsidRDefault="0093556F">
                  <w:r>
                    <w:t>Там над водою купка людей лагодилась сідати в човен.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32" style="position:absolute;left:0;text-align:left;margin-left:336.65pt;margin-top:168.25pt;width:135.1pt;height:74.2pt;z-index:251663360" arcsize="10923f">
            <v:textbox>
              <w:txbxContent>
                <w:p w:rsidR="00370AA7" w:rsidRDefault="0093556F">
                  <w:r>
                    <w:t>Є в нашому житті ще чимало об’єктів для нещадної сатири.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31" style="position:absolute;left:0;text-align:left;margin-left:336.65pt;margin-top:54.8pt;width:135.1pt;height:74.2pt;z-index:251662336" arcsize="10923f">
            <v:textbox>
              <w:txbxContent>
                <w:p w:rsidR="00370AA7" w:rsidRDefault="0093556F">
                  <w:r>
                    <w:t>Семеро одного не ждуть.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30" style="position:absolute;left:0;text-align:left;margin-left:38.4pt;margin-top:273.65pt;width:135.1pt;height:74.2pt;z-index:251661312" arcsize="10923f">
            <v:textbox>
              <w:txbxContent>
                <w:p w:rsidR="00370AA7" w:rsidRDefault="0093556F">
                  <w:r>
                    <w:t>Сміятися над розумними людьми – це привілей дурнів.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29" style="position:absolute;left:0;text-align:left;margin-left:30.85pt;margin-top:168.25pt;width:135.1pt;height:74.2pt;z-index:251660288" arcsize="10923f">
            <v:textbox>
              <w:txbxContent>
                <w:p w:rsidR="00370AA7" w:rsidRDefault="0093556F">
                  <w:r>
                    <w:t>Розумні вчаться для того,щоб знати.</w:t>
                  </w:r>
                </w:p>
              </w:txbxContent>
            </v:textbox>
          </v:roundrect>
        </w:pict>
      </w:r>
      <w:r>
        <w:rPr>
          <w:rFonts w:ascii="Times New Roman" w:hAnsi="Times New Roman" w:cs="Times New Roman"/>
          <w:noProof/>
          <w:sz w:val="28"/>
          <w:szCs w:val="28"/>
          <w:lang w:eastAsia="uk-UA"/>
        </w:rPr>
        <w:pict>
          <v:roundrect id="_x0000_s1028" style="position:absolute;left:0;text-align:left;margin-left:26.4pt;margin-top:60.6pt;width:135.8pt;height:63.1pt;z-index:251659264" arcsize="10923f">
            <v:textbox>
              <w:txbxContent>
                <w:p w:rsidR="00370AA7" w:rsidRDefault="0093556F">
                  <w:r>
                    <w:t>Хай оживає істина стара:людина починається з добра.</w:t>
                  </w:r>
                </w:p>
              </w:txbxContent>
            </v:textbox>
          </v:roundrect>
        </w:pict>
      </w: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P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5C20B0" w:rsidRDefault="005C20B0" w:rsidP="005C20B0">
      <w:pPr>
        <w:rPr>
          <w:rFonts w:ascii="Times New Roman" w:hAnsi="Times New Roman" w:cs="Times New Roman"/>
          <w:sz w:val="28"/>
          <w:szCs w:val="28"/>
        </w:rPr>
      </w:pPr>
    </w:p>
    <w:p w:rsidR="0082756D" w:rsidRPr="00D47C1D" w:rsidRDefault="0082756D" w:rsidP="0082756D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gramStart"/>
      <w:r w:rsidRPr="0082756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82756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5C20B0" w:rsidRPr="0082756D">
        <w:rPr>
          <w:rFonts w:ascii="Times New Roman" w:hAnsi="Times New Roman" w:cs="Times New Roman"/>
          <w:b/>
          <w:sz w:val="28"/>
          <w:szCs w:val="28"/>
        </w:rPr>
        <w:t>Засвоєння теоретичного матеріалу у процесі практичної роботи з теми.</w:t>
      </w:r>
      <w:proofErr w:type="gramEnd"/>
      <w:r w:rsidR="005C20B0" w:rsidRPr="0082756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2756D" w:rsidRPr="00D47C1D" w:rsidRDefault="005C20B0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56D">
        <w:rPr>
          <w:rFonts w:ascii="Times New Roman" w:hAnsi="Times New Roman" w:cs="Times New Roman"/>
          <w:b/>
          <w:i/>
          <w:sz w:val="28"/>
          <w:szCs w:val="28"/>
        </w:rPr>
        <w:t>Дослідження-трансформація на основі тексту.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0304" w:rsidRDefault="005C20B0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Прочитати мовчки текст. Дібрати до нього заголовок. Усно визначити синтаксичну роль виділених слів. Трансформувати подані речення за зразком так, щоб ці слова виступали в ролі підмета. Визначити спосіб вираження предметів.</w:t>
      </w:r>
    </w:p>
    <w:p w:rsidR="0082756D" w:rsidRPr="00D47C1D" w:rsidRDefault="005C20B0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2756D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Зразок. </w:t>
      </w:r>
      <w:r>
        <w:rPr>
          <w:rFonts w:ascii="Times New Roman" w:hAnsi="Times New Roman" w:cs="Times New Roman"/>
          <w:sz w:val="28"/>
          <w:szCs w:val="28"/>
        </w:rPr>
        <w:t xml:space="preserve">В Україні завжди високо цінували ввічливість у ставленні до людей. – В Україні завжди високо цінувалася ввічливість у ставленні до людей. </w:t>
      </w:r>
    </w:p>
    <w:p w:rsidR="005C20B0" w:rsidRDefault="005C20B0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Традиційно розрізняють внутрішню і зовнішню культуру. Протиставляють, з одного боку, духовні багатства людини, її моральність, а з другого – дотримання норм пристойності. Безперечно, суспільною вартісною можна назвати людину з багатим духовним світом, високою моральністю, розвиненим почуттям справедливості, громадянського обов’язку тощо. Проте жодна з цих чеснот не підкаже людині, як, наприклад, цілувати дамі руку чи як поводитися на фуршеті. Людство  легше любити, ніж конкретну людину, тому часом носії «високої культури»</w:t>
      </w:r>
      <w:r w:rsidR="00F5111C">
        <w:rPr>
          <w:rFonts w:ascii="Times New Roman" w:hAnsi="Times New Roman" w:cs="Times New Roman"/>
          <w:sz w:val="28"/>
          <w:szCs w:val="28"/>
        </w:rPr>
        <w:t xml:space="preserve"> нізащо не поступляться літній людині нижньою по</w:t>
      </w:r>
      <w:r w:rsidR="0082756D">
        <w:rPr>
          <w:rFonts w:ascii="Times New Roman" w:hAnsi="Times New Roman" w:cs="Times New Roman"/>
          <w:sz w:val="28"/>
          <w:szCs w:val="28"/>
        </w:rPr>
        <w:t>л</w:t>
      </w:r>
      <w:r w:rsidR="00F5111C">
        <w:rPr>
          <w:rFonts w:ascii="Times New Roman" w:hAnsi="Times New Roman" w:cs="Times New Roman"/>
          <w:sz w:val="28"/>
          <w:szCs w:val="28"/>
        </w:rPr>
        <w:t>ицею в купе потягу і не допоможуть їй винести валізу з в</w:t>
      </w:r>
      <w:r w:rsidR="0082756D">
        <w:rPr>
          <w:rFonts w:ascii="Times New Roman" w:hAnsi="Times New Roman" w:cs="Times New Roman"/>
          <w:sz w:val="28"/>
          <w:szCs w:val="28"/>
        </w:rPr>
        <w:t>а</w:t>
      </w:r>
      <w:r w:rsidR="00F5111C">
        <w:rPr>
          <w:rFonts w:ascii="Times New Roman" w:hAnsi="Times New Roman" w:cs="Times New Roman"/>
          <w:sz w:val="28"/>
          <w:szCs w:val="28"/>
        </w:rPr>
        <w:t>гона. Отже, внутрішню і зовнішню культури потрібно органічно поєднувати (За Я.</w:t>
      </w:r>
      <w:proofErr w:type="spellStart"/>
      <w:r w:rsidR="00F5111C">
        <w:rPr>
          <w:rFonts w:ascii="Times New Roman" w:hAnsi="Times New Roman" w:cs="Times New Roman"/>
          <w:sz w:val="28"/>
          <w:szCs w:val="28"/>
        </w:rPr>
        <w:t>Радевичем-Вінницьким</w:t>
      </w:r>
      <w:proofErr w:type="spellEnd"/>
      <w:r w:rsidR="00F5111C">
        <w:rPr>
          <w:rFonts w:ascii="Times New Roman" w:hAnsi="Times New Roman" w:cs="Times New Roman"/>
          <w:sz w:val="28"/>
          <w:szCs w:val="28"/>
        </w:rPr>
        <w:t>).</w:t>
      </w:r>
    </w:p>
    <w:p w:rsidR="00F5111C" w:rsidRPr="0082756D" w:rsidRDefault="00F5111C" w:rsidP="0082756D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82756D">
        <w:rPr>
          <w:rFonts w:ascii="Times New Roman" w:hAnsi="Times New Roman" w:cs="Times New Roman"/>
          <w:sz w:val="28"/>
          <w:szCs w:val="28"/>
        </w:rPr>
        <w:t xml:space="preserve">Пояснити лексичне значення слів </w:t>
      </w:r>
      <w:r w:rsidRPr="0082756D">
        <w:rPr>
          <w:rFonts w:ascii="Times New Roman" w:hAnsi="Times New Roman" w:cs="Times New Roman"/>
          <w:i/>
          <w:sz w:val="28"/>
          <w:szCs w:val="28"/>
        </w:rPr>
        <w:t>громадянський</w:t>
      </w:r>
      <w:r w:rsidRPr="0082756D">
        <w:rPr>
          <w:rFonts w:ascii="Times New Roman" w:hAnsi="Times New Roman" w:cs="Times New Roman"/>
          <w:sz w:val="28"/>
          <w:szCs w:val="28"/>
        </w:rPr>
        <w:t xml:space="preserve"> і </w:t>
      </w:r>
      <w:r w:rsidRPr="0082756D">
        <w:rPr>
          <w:rFonts w:ascii="Times New Roman" w:hAnsi="Times New Roman" w:cs="Times New Roman"/>
          <w:i/>
          <w:sz w:val="28"/>
          <w:szCs w:val="28"/>
        </w:rPr>
        <w:t>громадський.</w:t>
      </w:r>
      <w:r w:rsidRPr="0082756D">
        <w:rPr>
          <w:rFonts w:ascii="Times New Roman" w:hAnsi="Times New Roman" w:cs="Times New Roman"/>
          <w:sz w:val="28"/>
          <w:szCs w:val="28"/>
        </w:rPr>
        <w:t xml:space="preserve"> (</w:t>
      </w:r>
      <w:r w:rsidRPr="0082756D">
        <w:rPr>
          <w:rFonts w:ascii="Times New Roman" w:hAnsi="Times New Roman" w:cs="Times New Roman"/>
          <w:i/>
          <w:sz w:val="28"/>
          <w:szCs w:val="28"/>
        </w:rPr>
        <w:t>Громадянський</w:t>
      </w:r>
      <w:r w:rsidRPr="0082756D">
        <w:rPr>
          <w:rFonts w:ascii="Times New Roman" w:hAnsi="Times New Roman" w:cs="Times New Roman"/>
          <w:sz w:val="28"/>
          <w:szCs w:val="28"/>
        </w:rPr>
        <w:t xml:space="preserve"> – властивий свідомому громадянинові, спрямований на користь суспільства. </w:t>
      </w:r>
      <w:r w:rsidRPr="0082756D">
        <w:rPr>
          <w:rFonts w:ascii="Times New Roman" w:hAnsi="Times New Roman" w:cs="Times New Roman"/>
          <w:i/>
          <w:sz w:val="28"/>
          <w:szCs w:val="28"/>
        </w:rPr>
        <w:t>Громадський</w:t>
      </w:r>
      <w:r w:rsidRPr="0082756D">
        <w:rPr>
          <w:rFonts w:ascii="Times New Roman" w:hAnsi="Times New Roman" w:cs="Times New Roman"/>
          <w:sz w:val="28"/>
          <w:szCs w:val="28"/>
        </w:rPr>
        <w:t xml:space="preserve"> – належний усній громаді, суспільству; колективний).</w:t>
      </w:r>
    </w:p>
    <w:p w:rsidR="0082756D" w:rsidRDefault="00F5111C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2756D">
        <w:rPr>
          <w:rFonts w:ascii="Times New Roman" w:hAnsi="Times New Roman" w:cs="Times New Roman"/>
          <w:b/>
          <w:i/>
          <w:sz w:val="28"/>
          <w:szCs w:val="28"/>
        </w:rPr>
        <w:t>Відтворення деформованого висловлювання.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111C" w:rsidRDefault="00F5111C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Визначити межі речень. Списати, розставляючи пропущені розділові знаки. </w:t>
      </w:r>
      <w:r w:rsidR="0082756D">
        <w:rPr>
          <w:rFonts w:ascii="Times New Roman" w:hAnsi="Times New Roman" w:cs="Times New Roman"/>
          <w:sz w:val="28"/>
          <w:szCs w:val="28"/>
        </w:rPr>
        <w:t>З’ясувати</w:t>
      </w:r>
      <w:r>
        <w:rPr>
          <w:rFonts w:ascii="Times New Roman" w:hAnsi="Times New Roman" w:cs="Times New Roman"/>
          <w:sz w:val="28"/>
          <w:szCs w:val="28"/>
        </w:rPr>
        <w:t>, якими членами речення виступають виділені слова. Дати характеристику підметів, скориставшись схемою.</w:t>
      </w:r>
    </w:p>
    <w:p w:rsidR="00F5111C" w:rsidRDefault="00F5111C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05348">
        <w:rPr>
          <w:rFonts w:ascii="Times New Roman" w:hAnsi="Times New Roman" w:cs="Times New Roman"/>
          <w:b/>
          <w:sz w:val="28"/>
          <w:szCs w:val="28"/>
        </w:rPr>
        <w:t>Кожен із нас</w:t>
      </w:r>
      <w:r>
        <w:rPr>
          <w:rFonts w:ascii="Times New Roman" w:hAnsi="Times New Roman" w:cs="Times New Roman"/>
          <w:sz w:val="28"/>
          <w:szCs w:val="28"/>
        </w:rPr>
        <w:t xml:space="preserve"> не може жити поза суспільством, </w:t>
      </w:r>
      <w:r w:rsidRPr="00A05348">
        <w:rPr>
          <w:rFonts w:ascii="Times New Roman" w:hAnsi="Times New Roman" w:cs="Times New Roman"/>
          <w:sz w:val="28"/>
          <w:szCs w:val="28"/>
        </w:rPr>
        <w:t>а</w:t>
      </w:r>
      <w:r w:rsidRPr="00A05348">
        <w:rPr>
          <w:rFonts w:ascii="Times New Roman" w:hAnsi="Times New Roman" w:cs="Times New Roman"/>
          <w:b/>
          <w:sz w:val="28"/>
          <w:szCs w:val="28"/>
        </w:rPr>
        <w:t xml:space="preserve"> жити</w:t>
      </w:r>
      <w:r>
        <w:rPr>
          <w:rFonts w:ascii="Times New Roman" w:hAnsi="Times New Roman" w:cs="Times New Roman"/>
          <w:sz w:val="28"/>
          <w:szCs w:val="28"/>
        </w:rPr>
        <w:t xml:space="preserve"> в суспільстві означає дотримуватись законів і норм співжиття</w:t>
      </w:r>
      <w:r w:rsidR="00A05348">
        <w:rPr>
          <w:rFonts w:ascii="Times New Roman" w:hAnsi="Times New Roman" w:cs="Times New Roman"/>
          <w:sz w:val="28"/>
          <w:szCs w:val="28"/>
        </w:rPr>
        <w:t xml:space="preserve"> </w:t>
      </w:r>
      <w:r w:rsidRPr="00A05348">
        <w:rPr>
          <w:rFonts w:ascii="Times New Roman" w:hAnsi="Times New Roman" w:cs="Times New Roman"/>
          <w:b/>
          <w:sz w:val="28"/>
          <w:szCs w:val="28"/>
        </w:rPr>
        <w:t>ц</w:t>
      </w:r>
      <w:r w:rsidR="00A05348" w:rsidRPr="00A05348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називається соціальною культурою соціальна </w:t>
      </w:r>
      <w:r w:rsidRPr="00A05348">
        <w:rPr>
          <w:rFonts w:ascii="Times New Roman" w:hAnsi="Times New Roman" w:cs="Times New Roman"/>
          <w:b/>
          <w:sz w:val="28"/>
          <w:szCs w:val="28"/>
        </w:rPr>
        <w:t>культура</w:t>
      </w:r>
      <w:r>
        <w:rPr>
          <w:rFonts w:ascii="Times New Roman" w:hAnsi="Times New Roman" w:cs="Times New Roman"/>
          <w:sz w:val="28"/>
          <w:szCs w:val="28"/>
        </w:rPr>
        <w:t xml:space="preserve"> – явище загальнолюдське </w:t>
      </w:r>
      <w:r w:rsidRPr="00A05348">
        <w:rPr>
          <w:rFonts w:ascii="Times New Roman" w:hAnsi="Times New Roman" w:cs="Times New Roman"/>
          <w:b/>
          <w:sz w:val="28"/>
          <w:szCs w:val="28"/>
        </w:rPr>
        <w:t>вона</w:t>
      </w:r>
      <w:r>
        <w:rPr>
          <w:rFonts w:ascii="Times New Roman" w:hAnsi="Times New Roman" w:cs="Times New Roman"/>
          <w:sz w:val="28"/>
          <w:szCs w:val="28"/>
        </w:rPr>
        <w:t xml:space="preserve"> є атрибутом будь-якого суспільств але водночас маж етнічні (національні) особливості </w:t>
      </w:r>
      <w:r w:rsidRPr="00A05348">
        <w:rPr>
          <w:rFonts w:ascii="Times New Roman" w:hAnsi="Times New Roman" w:cs="Times New Roman"/>
          <w:b/>
          <w:sz w:val="28"/>
          <w:szCs w:val="28"/>
        </w:rPr>
        <w:t xml:space="preserve">вони </w:t>
      </w:r>
      <w:r>
        <w:rPr>
          <w:rFonts w:ascii="Times New Roman" w:hAnsi="Times New Roman" w:cs="Times New Roman"/>
          <w:sz w:val="28"/>
          <w:szCs w:val="28"/>
        </w:rPr>
        <w:t>обумовлені кліматичними умовами рівнем цивілізаційного розвитку соціально-економічним ладом контактами з іншими народами станом освіти національни</w:t>
      </w:r>
      <w:r w:rsidR="0082756D">
        <w:rPr>
          <w:rFonts w:ascii="Times New Roman" w:hAnsi="Times New Roman" w:cs="Times New Roman"/>
          <w:sz w:val="28"/>
          <w:szCs w:val="28"/>
        </w:rPr>
        <w:t>м характером ментальністю тощо б</w:t>
      </w:r>
      <w:r>
        <w:rPr>
          <w:rFonts w:ascii="Times New Roman" w:hAnsi="Times New Roman" w:cs="Times New Roman"/>
          <w:sz w:val="28"/>
          <w:szCs w:val="28"/>
        </w:rPr>
        <w:t xml:space="preserve">уло б дивно якби соціальна </w:t>
      </w:r>
      <w:r w:rsidRPr="00A05348">
        <w:rPr>
          <w:rFonts w:ascii="Times New Roman" w:hAnsi="Times New Roman" w:cs="Times New Roman"/>
          <w:b/>
          <w:sz w:val="28"/>
          <w:szCs w:val="28"/>
        </w:rPr>
        <w:t xml:space="preserve">культура </w:t>
      </w:r>
      <w:r>
        <w:rPr>
          <w:rFonts w:ascii="Times New Roman" w:hAnsi="Times New Roman" w:cs="Times New Roman"/>
          <w:sz w:val="28"/>
          <w:szCs w:val="28"/>
        </w:rPr>
        <w:t xml:space="preserve">українців у всьому збігалася з культурою японців арабів французів росіян тощо </w:t>
      </w:r>
      <w:r w:rsidRPr="00A05348">
        <w:rPr>
          <w:rFonts w:ascii="Times New Roman" w:hAnsi="Times New Roman" w:cs="Times New Roman"/>
          <w:b/>
          <w:sz w:val="28"/>
          <w:szCs w:val="28"/>
        </w:rPr>
        <w:t xml:space="preserve">усе </w:t>
      </w:r>
      <w:r w:rsidRPr="00A05348">
        <w:rPr>
          <w:rFonts w:ascii="Times New Roman" w:hAnsi="Times New Roman" w:cs="Times New Roman"/>
          <w:sz w:val="28"/>
          <w:szCs w:val="28"/>
        </w:rPr>
        <w:t>сказане</w:t>
      </w:r>
      <w:r>
        <w:rPr>
          <w:rFonts w:ascii="Times New Roman" w:hAnsi="Times New Roman" w:cs="Times New Roman"/>
          <w:sz w:val="28"/>
          <w:szCs w:val="28"/>
        </w:rPr>
        <w:t xml:space="preserve"> стосується і культури спілкування та поведінки людей </w:t>
      </w:r>
      <w:r>
        <w:rPr>
          <w:rFonts w:ascii="Times New Roman" w:hAnsi="Times New Roman" w:cs="Times New Roman"/>
          <w:sz w:val="28"/>
          <w:szCs w:val="28"/>
        </w:rPr>
        <w:lastRenderedPageBreak/>
        <w:t>у різних видах їхньої діяльності – трудовій, політичній, економічній тощо, у взаєминах між членами суспільства (</w:t>
      </w:r>
      <w:r w:rsidR="0082756D">
        <w:rPr>
          <w:rFonts w:ascii="Times New Roman" w:hAnsi="Times New Roman" w:cs="Times New Roman"/>
          <w:sz w:val="28"/>
          <w:szCs w:val="28"/>
        </w:rPr>
        <w:t>За Я.</w:t>
      </w:r>
      <w:proofErr w:type="spellStart"/>
      <w:r w:rsidR="0082756D">
        <w:rPr>
          <w:rFonts w:ascii="Times New Roman" w:hAnsi="Times New Roman" w:cs="Times New Roman"/>
          <w:sz w:val="28"/>
          <w:szCs w:val="28"/>
        </w:rPr>
        <w:t>Радевичем-Вінницьким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2756D">
        <w:rPr>
          <w:rFonts w:ascii="Times New Roman" w:hAnsi="Times New Roman" w:cs="Times New Roman"/>
          <w:sz w:val="28"/>
          <w:szCs w:val="28"/>
        </w:rPr>
        <w:t>.</w:t>
      </w:r>
    </w:p>
    <w:p w:rsidR="0082756D" w:rsidRPr="0082756D" w:rsidRDefault="0082756D" w:rsidP="0082756D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756D">
        <w:rPr>
          <w:rFonts w:ascii="Times New Roman" w:hAnsi="Times New Roman" w:cs="Times New Roman"/>
          <w:sz w:val="28"/>
          <w:szCs w:val="28"/>
        </w:rPr>
        <w:t>Зробити висновок, чи завжди підмет виражається іменником.</w:t>
      </w:r>
    </w:p>
    <w:p w:rsidR="0082756D" w:rsidRPr="0082756D" w:rsidRDefault="0082756D" w:rsidP="0082756D">
      <w:pPr>
        <w:pStyle w:val="a4"/>
        <w:numPr>
          <w:ilvl w:val="0"/>
          <w:numId w:val="2"/>
        </w:numPr>
        <w:tabs>
          <w:tab w:val="left" w:pos="0"/>
        </w:tabs>
        <w:spacing w:after="0" w:line="360" w:lineRule="auto"/>
        <w:ind w:left="1134"/>
        <w:jc w:val="both"/>
        <w:rPr>
          <w:rFonts w:ascii="Times New Roman" w:hAnsi="Times New Roman" w:cs="Times New Roman"/>
          <w:sz w:val="28"/>
          <w:szCs w:val="28"/>
        </w:rPr>
      </w:pPr>
      <w:r w:rsidRPr="0082756D">
        <w:rPr>
          <w:rFonts w:ascii="Times New Roman" w:hAnsi="Times New Roman" w:cs="Times New Roman"/>
          <w:sz w:val="28"/>
          <w:szCs w:val="28"/>
        </w:rPr>
        <w:t xml:space="preserve">Пояснити лексичне значення слова </w:t>
      </w:r>
      <w:r w:rsidRPr="0082756D">
        <w:rPr>
          <w:rFonts w:ascii="Times New Roman" w:hAnsi="Times New Roman" w:cs="Times New Roman"/>
          <w:i/>
          <w:sz w:val="28"/>
          <w:szCs w:val="28"/>
        </w:rPr>
        <w:t>ментальність</w:t>
      </w:r>
      <w:r w:rsidRPr="0082756D">
        <w:rPr>
          <w:rFonts w:ascii="Times New Roman" w:hAnsi="Times New Roman" w:cs="Times New Roman"/>
          <w:sz w:val="28"/>
          <w:szCs w:val="28"/>
        </w:rPr>
        <w:t>. (</w:t>
      </w:r>
      <w:r w:rsidRPr="0082756D">
        <w:rPr>
          <w:rFonts w:ascii="Times New Roman" w:hAnsi="Times New Roman" w:cs="Times New Roman"/>
          <w:i/>
          <w:sz w:val="28"/>
          <w:szCs w:val="28"/>
        </w:rPr>
        <w:t>Ментальність</w:t>
      </w:r>
      <w:r w:rsidRPr="0082756D">
        <w:rPr>
          <w:rFonts w:ascii="Times New Roman" w:hAnsi="Times New Roman" w:cs="Times New Roman"/>
          <w:sz w:val="28"/>
          <w:szCs w:val="28"/>
        </w:rPr>
        <w:t xml:space="preserve"> – інтелект, розумові здібності.) Дібрати до нього спільнокореневі слова (менталітет, ментальний). Указати на способи творення їх.</w:t>
      </w:r>
    </w:p>
    <w:p w:rsidR="0082756D" w:rsidRDefault="00F877CF" w:rsidP="0082756D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uk-UA"/>
        </w:rPr>
        <w:pict>
          <v:group id="_x0000_s1061" style="position:absolute;left:0;text-align:left;margin-left:4.1pt;margin-top:21.9pt;width:486.95pt;height:277.7pt;z-index:251691008" coordorigin="1499,4186" coordsize="9739,5554">
            <v:roundrect id="_x0000_s1046" style="position:absolute;left:1499;top:4186;width:9739;height:594" arcsize="10923f">
              <v:textbox>
                <w:txbxContent>
                  <w:p w:rsidR="0082756D" w:rsidRPr="0082756D" w:rsidRDefault="0082756D" w:rsidP="0082756D">
                    <w:pPr>
                      <w:pStyle w:val="a4"/>
                      <w:numPr>
                        <w:ilvl w:val="0"/>
                        <w:numId w:val="3"/>
                      </w:num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2756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Виділити у двоскладному реченні підмет (підкреслити його)</w:t>
                    </w:r>
                  </w:p>
                </w:txbxContent>
              </v:textbox>
            </v:roundrect>
            <v:roundrect id="_x0000_s1047" style="position:absolute;left:1499;top:5285;width:9739;height:594" arcsize="10923f">
              <v:textbox>
                <w:txbxContent>
                  <w:p w:rsidR="0082756D" w:rsidRPr="0082756D" w:rsidRDefault="001237AE" w:rsidP="0082756D">
                    <w:pPr>
                      <w:pStyle w:val="a4"/>
                      <w:numPr>
                        <w:ilvl w:val="0"/>
                        <w:numId w:val="3"/>
                      </w:num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З’ясувати, на яке питання він відповідає</w:t>
                    </w:r>
                  </w:p>
                </w:txbxContent>
              </v:textbox>
            </v:roundrect>
            <v:roundrect id="_x0000_s1048" style="position:absolute;left:1499;top:6265;width:9739;height:594" arcsize="10923f">
              <v:textbox>
                <w:txbxContent>
                  <w:p w:rsidR="0082756D" w:rsidRPr="0082756D" w:rsidRDefault="001237AE" w:rsidP="0082756D">
                    <w:pPr>
                      <w:pStyle w:val="a4"/>
                      <w:numPr>
                        <w:ilvl w:val="0"/>
                        <w:numId w:val="3"/>
                      </w:num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Дослідити, що означає підмет</w:t>
                    </w:r>
                  </w:p>
                </w:txbxContent>
              </v:textbox>
            </v:roundrect>
            <v:roundrect id="_x0000_s1049" style="position:absolute;left:1499;top:9146;width:9739;height:594" arcsize="10923f">
              <v:textbox>
                <w:txbxContent>
                  <w:p w:rsidR="001237AE" w:rsidRPr="0082756D" w:rsidRDefault="001237AE" w:rsidP="001237AE">
                    <w:pPr>
                      <w:pStyle w:val="a4"/>
                      <w:numPr>
                        <w:ilvl w:val="0"/>
                        <w:numId w:val="3"/>
                      </w:num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82756D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Ви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значити спосіб вираження підмета</w:t>
                    </w:r>
                  </w:p>
                </w:txbxContent>
              </v:textbox>
            </v:roundrect>
            <v:roundrect id="_x0000_s1050" style="position:absolute;left:1499;top:7318;width:2019;height:1396" arcsize="10923f">
              <v:textbox>
                <w:txbxContent>
                  <w:p w:rsidR="001237AE" w:rsidRPr="001237AE" w:rsidRDefault="001237AE" w:rsidP="001237A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1237AE" w:rsidRPr="001237AE" w:rsidRDefault="001237AE" w:rsidP="001237A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237A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предмет</w:t>
                    </w:r>
                  </w:p>
                </w:txbxContent>
              </v:textbox>
            </v:roundrect>
            <v:roundrect id="_x0000_s1051" style="position:absolute;left:4101;top:7318;width:2019;height:1396" arcsize="10923f">
              <v:textbox>
                <w:txbxContent>
                  <w:p w:rsidR="001237AE" w:rsidRPr="001237AE" w:rsidRDefault="001237AE" w:rsidP="001237A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sz w:val="28"/>
                      </w:rPr>
                      <w:t>о</w:t>
                    </w:r>
                    <w:r w:rsidRPr="001237AE">
                      <w:rPr>
                        <w:rFonts w:ascii="Times New Roman" w:hAnsi="Times New Roman" w:cs="Times New Roman"/>
                        <w:sz w:val="28"/>
                      </w:rPr>
                      <w:t>предмечену</w:t>
                    </w:r>
                    <w:proofErr w:type="spellEnd"/>
                    <w:r w:rsidRPr="001237AE">
                      <w:rPr>
                        <w:rFonts w:ascii="Times New Roman" w:hAnsi="Times New Roman" w:cs="Times New Roman"/>
                        <w:sz w:val="28"/>
                      </w:rPr>
                      <w:t xml:space="preserve"> дію чи ознаку</w:t>
                    </w:r>
                  </w:p>
                </w:txbxContent>
              </v:textbox>
            </v:roundrect>
            <v:roundrect id="_x0000_s1052" style="position:absolute;left:6729;top:7318;width:2019;height:1396" arcsize="10923f">
              <v:textbox>
                <w:txbxContent>
                  <w:p w:rsidR="001237AE" w:rsidRPr="001237AE" w:rsidRDefault="001237AE" w:rsidP="001237AE">
                    <w:pPr>
                      <w:jc w:val="center"/>
                      <w:rPr>
                        <w:rFonts w:ascii="Times New Roman" w:hAnsi="Times New Roman" w:cs="Times New Roman"/>
                        <w:sz w:val="16"/>
                        <w:szCs w:val="16"/>
                      </w:rPr>
                    </w:pPr>
                  </w:p>
                  <w:p w:rsidR="001237AE" w:rsidRPr="001237AE" w:rsidRDefault="001237AE" w:rsidP="001237A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</w:rPr>
                    </w:pPr>
                    <w:r w:rsidRPr="001237AE">
                      <w:rPr>
                        <w:rFonts w:ascii="Times New Roman" w:hAnsi="Times New Roman" w:cs="Times New Roman"/>
                        <w:sz w:val="28"/>
                      </w:rPr>
                      <w:t>істоту</w:t>
                    </w:r>
                  </w:p>
                </w:txbxContent>
              </v:textbox>
            </v:roundrect>
            <v:roundrect id="_x0000_s1053" style="position:absolute;left:9219;top:7318;width:2019;height:1470" arcsize="10923f">
              <v:textbox>
                <w:txbxContent>
                  <w:p w:rsidR="001237AE" w:rsidRPr="001237AE" w:rsidRDefault="001237AE" w:rsidP="001237AE">
                    <w:pPr>
                      <w:jc w:val="center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 w:rsidRPr="001237AE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абстрактне поняття</w:t>
                    </w:r>
                  </w:p>
                </w:txbxContent>
              </v:textbox>
            </v:roundrect>
            <v:shape id="_x0000_s1054" type="#_x0000_t32" style="position:absolute;left:6413;top:4780;width:0;height:505" o:connectortype="straight">
              <v:stroke endarrow="block"/>
            </v:shape>
            <v:shape id="_x0000_s1055" type="#_x0000_t32" style="position:absolute;left:6413;top:5879;width:0;height:386" o:connectortype="straight">
              <v:stroke endarrow="block"/>
            </v:shape>
            <v:shape id="_x0000_s1056" type="#_x0000_t32" style="position:absolute;left:6413;top:6859;width:0;height:2287" o:connectortype="straight">
              <v:stroke endarrow="block"/>
            </v:shape>
            <v:shape id="_x0000_s1057" type="#_x0000_t32" style="position:absolute;left:2553;top:6859;width:0;height:459" o:connectortype="straight"/>
            <v:shape id="_x0000_s1058" type="#_x0000_t32" style="position:absolute;left:5196;top:6859;width:0;height:459" o:connectortype="straight"/>
            <v:shape id="_x0000_s1059" type="#_x0000_t32" style="position:absolute;left:7780;top:6859;width:0;height:459" o:connectortype="straight"/>
            <v:shape id="_x0000_s1060" type="#_x0000_t32" style="position:absolute;left:10243;top:6859;width:30;height:459" o:connectortype="straight"/>
          </v:group>
        </w:pict>
      </w:r>
      <w:r w:rsidR="0082756D" w:rsidRPr="0082756D">
        <w:rPr>
          <w:rFonts w:ascii="Times New Roman" w:hAnsi="Times New Roman" w:cs="Times New Roman"/>
          <w:b/>
          <w:sz w:val="28"/>
          <w:szCs w:val="28"/>
        </w:rPr>
        <w:t>Схема характеристики підмета</w:t>
      </w:r>
    </w:p>
    <w:p w:rsidR="0082756D" w:rsidRPr="0082756D" w:rsidRDefault="0082756D" w:rsidP="0082756D">
      <w:pPr>
        <w:tabs>
          <w:tab w:val="left" w:pos="0"/>
        </w:tabs>
        <w:spacing w:after="0" w:line="36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756D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7AE" w:rsidRDefault="001237AE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</w:p>
    <w:p w:rsidR="001237AE" w:rsidRDefault="001237AE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7AE" w:rsidRDefault="001237AE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7AE" w:rsidRDefault="001237AE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1237AE" w:rsidRPr="00D47C1D" w:rsidRDefault="001237AE" w:rsidP="001237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2756D" w:rsidRPr="00D47C1D" w:rsidRDefault="001237AE" w:rsidP="001237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A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1237AE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2756D" w:rsidRPr="001237AE">
        <w:rPr>
          <w:rFonts w:ascii="Times New Roman" w:hAnsi="Times New Roman" w:cs="Times New Roman"/>
          <w:b/>
          <w:sz w:val="28"/>
          <w:szCs w:val="28"/>
        </w:rPr>
        <w:t>Підсумок уроку.</w:t>
      </w:r>
      <w:r w:rsidR="00D47C1D">
        <w:rPr>
          <w:rFonts w:ascii="Times New Roman" w:hAnsi="Times New Roman" w:cs="Times New Roman"/>
          <w:sz w:val="28"/>
          <w:szCs w:val="28"/>
        </w:rPr>
        <w:t xml:space="preserve"> ( Складемо </w:t>
      </w:r>
      <w:r w:rsidR="00D47C1D">
        <w:rPr>
          <w:rFonts w:ascii="Times New Roman" w:hAnsi="Times New Roman" w:cs="Times New Roman"/>
          <w:sz w:val="28"/>
          <w:szCs w:val="28"/>
        </w:rPr>
        <w:tab/>
        <w:t>«придбаний крам» на свою мажу:</w:t>
      </w:r>
    </w:p>
    <w:p w:rsidR="00D47C1D" w:rsidRDefault="00D47C1D" w:rsidP="001237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 знаю                Я вмію               Я можу</w:t>
      </w:r>
    </w:p>
    <w:p w:rsidR="00D47C1D" w:rsidRPr="001237AE" w:rsidRDefault="00D47C1D" w:rsidP="001237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2756D" w:rsidRPr="001237AE" w:rsidRDefault="001237AE" w:rsidP="001237AE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237A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D47C1D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r w:rsidR="0082756D" w:rsidRPr="001237AE">
        <w:rPr>
          <w:rFonts w:ascii="Times New Roman" w:hAnsi="Times New Roman" w:cs="Times New Roman"/>
          <w:b/>
          <w:sz w:val="28"/>
          <w:szCs w:val="28"/>
        </w:rPr>
        <w:t>Домашнє завдання.</w:t>
      </w:r>
    </w:p>
    <w:p w:rsidR="0082756D" w:rsidRDefault="0082756D" w:rsidP="0082756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Скласти речення так, щоб підмети в них були виражені: а) прізвищем, </w:t>
      </w:r>
      <w:r w:rsidR="001237AE">
        <w:rPr>
          <w:rFonts w:ascii="Times New Roman" w:hAnsi="Times New Roman" w:cs="Times New Roman"/>
          <w:sz w:val="28"/>
          <w:szCs w:val="28"/>
        </w:rPr>
        <w:t>ім’ям</w:t>
      </w:r>
      <w:r>
        <w:rPr>
          <w:rFonts w:ascii="Times New Roman" w:hAnsi="Times New Roman" w:cs="Times New Roman"/>
          <w:sz w:val="28"/>
          <w:szCs w:val="28"/>
        </w:rPr>
        <w:t xml:space="preserve"> та по-батькові; б) назвою художнього твору; сполученням числівника з іменником.</w:t>
      </w:r>
    </w:p>
    <w:p w:rsidR="0082756D" w:rsidRPr="0082756D" w:rsidRDefault="0082756D" w:rsidP="0082756D">
      <w:pPr>
        <w:pStyle w:val="a4"/>
        <w:numPr>
          <w:ilvl w:val="0"/>
          <w:numId w:val="1"/>
        </w:num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Написати міні-твір на тему «Який рівень культури спілкування можна назвати високим?». Виділити головні члени речення. Визначити, чим вони вираженні.</w:t>
      </w:r>
    </w:p>
    <w:p w:rsidR="0082756D" w:rsidRPr="005C20B0" w:rsidRDefault="0082756D" w:rsidP="0082756D">
      <w:pPr>
        <w:tabs>
          <w:tab w:val="left" w:pos="0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82756D" w:rsidRPr="005C20B0" w:rsidSect="005330D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62214"/>
    <w:multiLevelType w:val="hybridMultilevel"/>
    <w:tmpl w:val="75FE148A"/>
    <w:lvl w:ilvl="0" w:tplc="4E8A6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2FD064C"/>
    <w:multiLevelType w:val="hybridMultilevel"/>
    <w:tmpl w:val="1BF276D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FF2A74"/>
    <w:multiLevelType w:val="hybridMultilevel"/>
    <w:tmpl w:val="91922978"/>
    <w:lvl w:ilvl="0" w:tplc="0422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hyphenationZone w:val="425"/>
  <w:characterSpacingControl w:val="doNotCompress"/>
  <w:compat/>
  <w:rsids>
    <w:rsidRoot w:val="00FD2DF9"/>
    <w:rsid w:val="000F6103"/>
    <w:rsid w:val="001237AE"/>
    <w:rsid w:val="00256388"/>
    <w:rsid w:val="0033389E"/>
    <w:rsid w:val="00370AA7"/>
    <w:rsid w:val="005330DD"/>
    <w:rsid w:val="005C20B0"/>
    <w:rsid w:val="0082756D"/>
    <w:rsid w:val="0093556F"/>
    <w:rsid w:val="00980304"/>
    <w:rsid w:val="00A05348"/>
    <w:rsid w:val="00B748FD"/>
    <w:rsid w:val="00D47C1D"/>
    <w:rsid w:val="00E11B86"/>
    <w:rsid w:val="00E73F3B"/>
    <w:rsid w:val="00F260DC"/>
    <w:rsid w:val="00F5111C"/>
    <w:rsid w:val="00F877CF"/>
    <w:rsid w:val="00FD2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6" type="connector" idref="#_x0000_s1060"/>
        <o:r id="V:Rule17" type="connector" idref="#_x0000_s1054"/>
        <o:r id="V:Rule18" type="connector" idref="#_x0000_s1059"/>
        <o:r id="V:Rule19" type="connector" idref="#_x0000_s1037"/>
        <o:r id="V:Rule20" type="connector" idref="#_x0000_s1055"/>
        <o:r id="V:Rule21" type="connector" idref="#_x0000_s1042"/>
        <o:r id="V:Rule22" type="connector" idref="#_x0000_s1056"/>
        <o:r id="V:Rule23" type="connector" idref="#_x0000_s1039"/>
        <o:r id="V:Rule24" type="connector" idref="#_x0000_s1041"/>
        <o:r id="V:Rule25" type="connector" idref="#_x0000_s1058"/>
        <o:r id="V:Rule26" type="connector" idref="#_x0000_s1044"/>
        <o:r id="V:Rule27" type="connector" idref="#_x0000_s1038"/>
        <o:r id="V:Rule28" type="connector" idref="#_x0000_s1040"/>
        <o:r id="V:Rule29" type="connector" idref="#_x0000_s1057"/>
        <o:r id="V:Rule30" type="connector" idref="#_x0000_s104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0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2DF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275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C949F-E5D7-483B-B148-6A641C76A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3203</Words>
  <Characters>1826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2011-12-15T19:45:00Z</dcterms:created>
  <dcterms:modified xsi:type="dcterms:W3CDTF">2011-12-25T14:34:00Z</dcterms:modified>
</cp:coreProperties>
</file>